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1C_323/2025 vom 20. April 2026</w:t>
      </w:r>
    </w:p>
    <w:p>
      <w:r>
        <w:t>Bundesgericht, 2026-04-20, FR</w:t>
      </w:r>
    </w:p>
    <w:p>
      <w:r>
        <w:rPr>
          <w:b/>
        </w:rPr>
        <w:t xml:space="preserve">Quelle: </w:t>
      </w:r>
      <w:r>
        <w:t>https://mcp.opencaselaw.ch/entscheid/bger_1C_323_2025</w:t>
      </w:r>
    </w:p>
    <w:p>
      <w:r>
        <w:t>FR: TF 1C_323/2025 du 20 avril 2026</w:t>
      </w:r>
    </w:p>
    <w:p>
      <w:r>
        <w:t>IT: TF 1C_323/2025 del 20 aprile 2026</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Selon les constatations de l'arrêt cantonal, la parcelle de la recourante se situe à moins de 100 m de la parcelle n° 88 destinée à accueillir le projet litigieux. Au vu de la proximité de ces deux parcelles, la recourante, qui a participé à la procédure de recours devant la cour cantonale, dispose de la qualité pour recourir en vertu de l' art. 89 al. 1 LTF contre l'arrêt attaqué qui confirme l'autorisation de construire sur la parcelle n° 88 dont elle juge notamment la voie d'accès insuffisante.</w:t>
      </w:r>
    </w:p>
    <w:p>
      <w:r>
        <w:t>Les autres conditions de recevabilité sont au surplus réunies, de sorte qu'il convient d'entrer en matière.</w:t>
      </w:r>
    </w:p>
    <w:p>
      <w:r>
        <w:rPr>
          <w:b/>
        </w:rPr>
        <w:t>E. 2</w:t>
      </w:r>
    </w:p>
    <w:p>
      <w:r>
        <w:t>2.1.1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t>2.1.2 Le ch. 7.4 - consacré aux voies d'accès - de la directive technique n° 7 annexée au RPSSP prévoit notamment que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t>2.1.3 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(cf. ATF 121 I 65 consid. 3a et les arrêts cités; arrêts 1C_155/2019 du 11 décembre 2019 consid. 5.1; 1C_56/2019 du 14 octobre 2019 consid. 3.1). Les autorités communales et cantonales disposent en ce domaine d'un important pouvoir d'appréciation, que le Tribunal fédéral doit respecter ( ATF 121 I 65 consid. 3a</w:t>
      </w:r>
    </w:p>
    <w:p>
      <w:r>
        <w:t>in fine ; 96 I 369 consid. 4; arrêts 1C_309/2019 du 8 mai 2020 consid. 6.2; 1C_155/2019 du 11 décembre 2019 consid. 5.1).</w:t>
      </w:r>
    </w:p>
    <w:p>
      <w:r>
        <w:rPr>
          <w:b/>
        </w:rPr>
        <w:t>E. 2.2</w:t>
      </w:r>
    </w:p>
    <w:p>
      <w:r>
        <w:t>La cour cantonale a constaté que le rapport intitulé "Concept sécurité incendie élaboré le 12 janvier 2022 par F.________ Sàrl précise au point 3.2 intitulé "Accès pompiers" que l'accès feu à une façade est prévu depuis le chemin D.________. Elle a relevé que ce document ne faisait pas mention de la largeur du chemin. Elle a cependant souligné que ce document avait été établi à la suite d'un entretien avec la police du feu le 16 décembre 2021 et que cette instance spécialisée avait par ailleurs rendu, le 4 février 2022, un préavis favorable sous conditions, notamment le respect du RPSSP comprenant la directive n° 7 en question; elle a ajouté que l'Office cantonal des transports n'avait pas non plus, dans ses deux préavis, fait de remarque au sujet de l'accès. Pour la cour cantonale, rien ne permettait de considérer que la police du feu aurait rendu son préavis en méconnaissance de cause ou en s'abstenant de vérifier la conformité du projet aux exigences de la directive n° 7 du RPSSP. Elle a précisé qu'il ressortait en outre du "Test camion pompiers" établi le 17 mai 2022 par un bureau d'ingénieurs que le passage d'un véhicule à échelle d'une largeur de 2,5 m et d'une longueur de 9,68 m est assuré tout le long du chemin D.________; l'instance précédente a souligné qu'il ressortait de ce document et de sa légende qu'il existait une petite "Marge carrosserie". Elle a ainsi considéré que la lecture et l'analyse du plan des aménagements extérieurs permettent de constater que l'accès des services de secours était conforme au RPSSP.</w:t>
      </w:r>
    </w:p>
    <w:p>
      <w:r>
        <w:rPr>
          <w:b/>
        </w:rPr>
        <w:t>E. 2.3</w:t>
      </w:r>
    </w:p>
    <w:p>
      <w:r>
        <w:t>La recourante s'en prend à cette appréciation. Elle soutient que le chemin D.________ ne constituerait pas un accès suffisant pour les véhicules des services du feu et que la directive n° 7 annexée au RPSSP ne serait pas respectée, en particulier les prescriptions concernant la largeur de la voie d'accès en ligne droite et dans ses virages. La recourante ne prétend en revanche pas que les services du feu ne seraient pas concrètement en mesure d'accéder aux bâtiments projetés sur la parcelle n° 88 par le chemin D.________.</w:t>
      </w:r>
    </w:p>
    <w:p>
      <w:r>
        <w:t>Dans le cas présent, la question de l'accès des services du feu, distincte de celle de l'accès en général, ne relève pas de la notion d'équipement ( art. 19 al. 1 LAT ) mais du droit cantonal, plus précisément de la directive n° 7 annexée au RPSSP (arrêts 1C_115/2025 du 19 septembre 2025 consid. 4.5; 1C_642/2022 du 7 novembre 2023 consid. 4.5; 1C_658/2020 du 20 janvier 2022 consid. 3.2. Dans l'autre sens, mais isolé, arrêt 1C_341/2020 du 18 février 2022 consid. 3.3). Par conséquent, le pouvoir d'examen du Tribunal fédéral est limité à l'arbitraire (arrêt 1C_115/2025 précité consid. 4.5).</w:t>
      </w:r>
    </w:p>
    <w:p>
      <w:r>
        <w:t>La cour cantonale a constaté que le chemin D.________ est bidirectionnel et comprend une voie avec deux réserves de passage, d'une largeur de 4.20 m au maximum. Elle n'a certes pas chiffré la largeur minimale du chemin D.________. Elle s'est toutefois référée aux préavis positifs des services spécialisés qui n'avaient élevé aucune remarque quant à la voie d'accès pour les véhicules du service du feu, ainsi qu'à une expertise "Test camion pompier" du 17 mai 2022, laquelle confirme que le passage d'un véhicule à échelle d'une largeur de 2,5 m et d'une longueur de 9,68 m est assuré tout le long du chemin litigieux. L'arrêt attaqué et les préavis auraient certes pu être plus détaillés sur la question de l'accès à la parcelle n° 88. Cela étant, il a été établi - d'une manière qui lie le Tribunal fédéral - que le passage d'un camion pompier est concrètement possible sur le chemin D.________. Aussi, au vu du but poursuivi par la disposition de droit cantonal en cause qui est de garantir l'accès aux engins du service du feu, la décision entreprise ne saurait être qualifiée d'arbitraire dans son résultat. Il n'était dès lors pas nécessaire de connaître la largeur exacte du chemin en question, les éléments du dossier permettant à la cour cantonale de retenir sans arbitraire que les engins du service du feu pouvaient accéder à la parcelle par ce chemin. L'instance précédente n'a pas versé dans l'arbitraire en considérant que la surface du chemin D.________ située sur la parcelle de la recourante pouvait être prise en considération dans le calcul de la largeur disponible pour l'accès des services de secours et des pompiers. L'éventuel empiétement du camion pompier sur la portion du chemin D.________ située sur le bien-fonds de la recourante est d'autant moins déterminant s'agissant d'un usage exceptionnel.</w:t>
      </w:r>
    </w:p>
    <w:p>
      <w:r>
        <w:t>Enfin, contrairement à ce qui prévalait dans l'arrêt 1C_341/2020 du 18 février 2022 invoqué par la recourante, il ne ressort pas des faits établis par la cour cantonale que l'accès routier pour les services du feu implique dans le cas d'espèce des aménagements tels que l'élargissement de la voie d'accès actuelle et la destruction d'un mur et d'une haie sis sur une parcelle voisine. La recourante se réfère ainsi dans tous les cas en vain à l'arrêt précité.</w:t>
      </w:r>
    </w:p>
    <w:p>
      <w:r>
        <w:t>Ce premier moyen doit être rejeté.</w:t>
      </w:r>
    </w:p>
    <w:p>
      <w:r>
        <w:rPr>
          <w:b/>
        </w:rPr>
        <w:t>E. 3</w:t>
      </w:r>
    </w:p>
    <w:p>
      <w:r>
        <w:t>La recourante soutient que la cour cantonale aurait commis un abus de droit et appliqué arbitrairement l'ancien art. 3 al. 3 du réglement d'application de la loi cantonale sur les constructions et les installations diverses du 27 février 1978 (RCI; RS/GE L 5 05.01), dans sa teneur jusqu'au 31 août 2024, en validant le calcul des constructions de peu d'importance (ci-après: CDPI) effectué sur la base d'un projet de mutation parcellaire. Le total des CDPI de la parcelle, sans mutation, dépasserait le quota de 100 m</w:t>
      </w:r>
    </w:p>
    <w:p>
      <w:r>
        <w:t>2 prévu par la disposition précitée. Pour la recourante, le projet de mutation parcellaire ne pourrait pas être pris en considération dans le calcul des quotas des CDPI dès lors que cette mutation parcellaire n'était pas encore inscrite et qu'elle ne respectait pas les limites des bâtiments projetés. Elle estime que la simple mention de ce projet au chiffre 15 de l'autorisation de construire ne permet pas de s'assurer que la mutation parcellaire interviendra avant l'ouverture du chantier.</w:t>
      </w:r>
    </w:p>
    <w:p>
      <w:r>
        <w:t>Le grief d'abus de droit n'a en l'espèce pas de portée propre et se confond avec celui d'arbitraire dans l'application du droit cantonal.</w:t>
      </w:r>
    </w:p>
    <w:p>
      <w:r>
        <w:rPr>
          <w:b/>
        </w:rPr>
        <w:t>E. 3.1</w:t>
      </w:r>
    </w:p>
    <w:p>
      <w:r>
        <w:t>L'ancien art. 3 al. 3 RCI prévoit notamment que, dans tous les cas, la surface totale des CDPI ne doit pas excéder 8% de la surface de la parcelle et au maximum 100 m</w:t>
      </w:r>
    </w:p>
    <w:p>
      <w:r>
        <w:t>2 (phr. 3).</w:t>
      </w:r>
    </w:p>
    <w:p>
      <w:r>
        <w:rPr>
          <w:b/>
        </w:rPr>
        <w:t>E. 3.2</w:t>
      </w:r>
    </w:p>
    <w:p>
      <w:r>
        <w:t>La cour cantonale a considéré que la surface totale des CDPI ne dépassait pas 100 m2 par parcelle, tel que prévu par l'ancien art. 3 al. 3 RCI. Elle s'est en particulier référée à la directive du département du 3 février 2014, dans sa version 7 (024-v7), qui précise que, dans le calcul des surfaces des CDPI, il peut être tenu compte d'un projet de division parcellaire fourni dans le cadre de la requête en autorisation de construire. La cour cantonale a dans ce contexte souligné qu'il était disproportionné d'exiger du requérant de l'autorisation de construire de procéder aux démarches auprès du registre foncier (RF) avant l'entrée en force de l'autorisation de construire. L'instance précédente a estimé, à l'instar du département, que le projet de mutation parcellaire provisoire n° 27/2023 établi le 23 novembre 2023 par E.________ SA était suffisant. Ce projet de mutation parcellaire avait bien été pris en considération par le département dans le cadre de l'instruction de l'autorisation de construire; en particulier, le point 15 de l'autorisation exigeait, en lien avec ce projet de mutation/division parcellaire, l'inscription d'une mention de restriction du droit de propriété (droit à bâtir) au RF selon un modèle bien précis.</w:t>
      </w:r>
    </w:p>
    <w:p>
      <w:r>
        <w:t>Les critiques de la recourante ne sont pas de nature à démontrer le caractère arbitraire de l'appréciation des juges cantonaux. La recourante ne parvient en particulier pas à démontrer en quoi il serait insoutenable de prendre en considération, pour le calcul des CDPI, le projet de mutation parcellaire inclus et visé par l'autorisation de construire. Les juges cantonaux pouvaient sans verser dans l'arbitraire considérer que le projet de division parcellaire établi par E.________ SA faisait partie intégrante de l'autorisation de construire et que celle-ci exigeait, à son point n° 15, l'inscription de cette mutation parcellaire au RF. La cour cantonale peut ainsi être suivie lorsqu'elle affirme qu'il est disproportionné d'exiger l'inscription de la mutation parcellaire au RF avant l'entrée en force de l'autorisation de construire. Par ailleurs, quoi qu'en pense la recourante, il n'est pas insoutenable d'affirmer qu'une mutation parcellaire ne doit pas impérativement respecter strictement les limites des bâtiments. La recourante ne cherche en outre pas à démontrer que la décision entreprise serait insoutenable dans son résultat. Enfin, il sied de relever que la recourante ne prétend plus que, même après la division parcellaire, le quota des CDPI ne serait pas respecté pour les futures parcelles.</w:t>
      </w:r>
    </w:p>
    <w:p>
      <w:r>
        <w:t>Dans ces conditions, le grief de la recourante, pour autant que recevable, doit être rejeté.</w:t>
      </w:r>
    </w:p>
    <w:p>
      <w:r>
        <w:rPr>
          <w:b/>
        </w:rPr>
        <w:t>E. 4</w:t>
      </w:r>
    </w:p>
    <w:p>
      <w:r>
        <w:t>Au vu de ce qui précède, le recours doit être rejeté, dans la mesure où il est recevable. Les frais judiciaires sont mis à la charge de la recourante qui succombe ( art. 66 al. 1 LTF ), de même que l'indemnité de dépens allouée à l'intimée B.________ SA,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