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1C_323/2023 vom 4. Juli 2023</w:t>
      </w:r>
    </w:p>
    <w:p>
      <w:r>
        <w:t>Bundesgericht, 2023-07-04, FR</w:t>
      </w:r>
    </w:p>
    <w:p>
      <w:r>
        <w:rPr>
          <w:b/>
        </w:rPr>
        <w:t xml:space="preserve">Quelle: </w:t>
      </w:r>
      <w:r>
        <w:t>https://mcp.opencaselaw.ch/entscheid/bger_1C_323_2023</w:t>
      </w:r>
    </w:p>
    <w:p>
      <w:r>
        <w:t>FR: TF 1C_323/2023 du 4 juillet 2023</w:t>
      </w:r>
    </w:p>
    <w:p>
      <w:r>
        <w:t>IT: TF 1C_323/2023 del 4 luglio 2023</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w:t>
      </w:r>
    </w:p>
    <w:p>
      <w:r>
        <w:t>Un cas est particulièrement important notamment lorsqu'il y a des raisons de supposer que la procédure à l'étranger - ou en Suisse ( ATF 145 IV 99 consid. 1.3)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1.1</w:t>
      </w:r>
    </w:p>
    <w:p>
      <w:r>
        <w:t>La présente cause porte certes sur la transmission de documents bancaires, soit des renseignements touchant le domaine secret. Toutefois, compte tenu des faits à l'origine de la demande et de la nature de la remise envisagée, limitée à la documentation relative à un compte bancaire, le cas ne revêt en soi aucune importance particulière.</w:t>
      </w:r>
    </w:p>
    <w:p>
      <w:r>
        <w:rPr>
          <w:b/>
        </w:rPr>
        <w:t>E. 1.2</w:t>
      </w:r>
    </w:p>
    <w:p>
      <w:r>
        <w:t>Le recourant soutient que la transmission de la documentation relative à son compte bancaire auprès de D.________ SA n'aurait pas été requise par l'autorité requérante, la demande d'entraide tendant uniquement au blocage dudit compte. Une telle interprétation extensive de la demande d'entraide et du principe d'utilité potentielle poserait une question de principe.</w:t>
      </w:r>
    </w:p>
    <w:p>
      <w:r>
        <w:t>La Cour de céans a déjà eu l'occasion de nier une violation du principe de la proportionnalité dans une constellation analogue, en se référant à la jurisprudence constante qui admet que l'on peut interpréter une commission rogatoire de manière extensive, s'il apparaît que cela correspond à la volonté de son auteur et permet de prévenir une éventuelle demande complémentaire ( ATF 121 II 241 consid. 3a</w:t>
      </w:r>
    </w:p>
    <w:p>
      <w:r>
        <w:t>in fine ). Il est ainsi admissible de transmettre des renseignements au sujet de comptes bancaires dont seul le blocage est requis, car ces renseignements peuvent permettre de motiver une demande de restitution fondée sur l' art. 74a EIMP (arrêt 1A.303/2004 du 29 mars 2005 consid. 4). L'application de cette jurisprudence ne pose dès lors aucune question de principe (cf. arrêts 1C_531/2019 du 11 novembre 2019 consid. 2.4 et 1C_622/2018 du 29 novembre 2018 consid. 1.3).</w:t>
      </w:r>
    </w:p>
    <w:p>
      <w:r>
        <w:t>Le recourant conteste que l'enquête pénale ouverte à son encontre au Portugal soit encore en phase d'instruction et que la documentation relative à son compte bancaire soit utile pour l'enquête. La Cour des plaintes est arrivée à cette conclusion sur la base d'une interprétation de la demande d'entraide et non sur des pièces qui n'auraient pas été portées à la connaissance du recourant en violation de son droit d'être entendu. On ne voit pas qu'elle aurait impérativement dû inviter le recourant à se déterminer sur l'état de la procédure pénale avant de rendre sa décision dès lors qu'il a pu faire valoir ses objections à la remise de la documentation de sa relation bancaire. A défaut d'une violation grave et évidente d'un droit de partie ou d'une quelconque question de principe, il ne se justifie pas d'entrer en matière sur le recours. Le fait que la Cour des plaintes aurait prétendument constaté les faits de manière arbitraire n'impose pas une appréciation différente.</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w:t>
      </w:r>
    </w:p>
    <w:p>
      <w:r>
        <w:rPr>
          <w:b/>
        </w:rPr>
        <w:t>E. 2</w:t>
      </w:r>
    </w:p>
    <w:p>
      <w:r>
        <w:t>Le recours est dès lors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