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323/2019 vom 24. Juni 2019</w:t>
      </w:r>
    </w:p>
    <w:p>
      <w:r>
        <w:t>Bundesgericht, 2019-06-24, FR</w:t>
      </w:r>
    </w:p>
    <w:p>
      <w:r>
        <w:rPr>
          <w:b/>
        </w:rPr>
        <w:t xml:space="preserve">Quelle: </w:t>
      </w:r>
      <w:r>
        <w:t>https://mcp.opencaselaw.ch/entscheid/bger_1C_323_2019</w:t>
      </w:r>
    </w:p>
    <w:p>
      <w:r>
        <w:t>FR: TF 1C 323/2019 du 24 juin 2019</w:t>
      </w:r>
    </w:p>
    <w:p>
      <w:r>
        <w:t>IT: TF 1C 323/2019 del 24 giugno 2019</w:t>
      </w:r>
    </w:p>
    <w:p>
      <w:pPr>
        <w:pStyle w:val="Heading2"/>
      </w:pPr>
      <w:r>
        <w:t>Regeste</w:t>
      </w:r>
    </w:p>
    <w:p>
      <w:r>
        <w:t>Votation fédérale du 19 mai 2019 portant sur la réforme fiscale et le financement de l'AVS | Droits politiques</w:t>
      </w:r>
    </w:p>
    <w:p>
      <w:pPr>
        <w:pStyle w:val="Heading2"/>
      </w:pPr>
      <w:r>
        <w:t>Erwägungen</w:t>
      </w:r>
    </w:p>
    <w:p>
      <w:r>
        <w:rPr>
          <w:b/>
        </w:rPr>
        <w:t>E. 1</w:t>
      </w:r>
    </w:p>
    <w:p>
      <w:r>
        <w:t>Les causes 1C_323/2019 et 1C_324/2019 relèvent d'un même complexe de faits. Il y a lieu de joindre les causes et de les traiter dans un seul arrêt, par économie de procédure ( art. 24 al. 2 PCF et 71 LTF).</w:t>
      </w:r>
    </w:p>
    <w:p>
      <w:r>
        <w:rPr>
          <w:b/>
        </w:rPr>
        <w:t>E. 2</w:t>
      </w:r>
    </w:p>
    <w:p>
      <w:r>
        <w:t>Conformément à l' art. 82 let . c LTF, le Tribunal fédéral connaît des recours qui concernent les votations populaires, en particulier en matière fédérale contre les décisions des gouvernements cantonaux ( art. 88 al. 1 let. b LTF ). Les recourants disposent du droit de vote sur le plan fédéral et ont ainsi qualité pour recourir ( art. 89 al. 3 LTF ). Ils ont déposé leur recours contre les décisions des gouvernements vaudois et neuchâtelois auprès du Tribunal fédéral dans le délai prévu ( art. 100 al. 3 let. b LTF ). Il convient par conséquent d'entrer en matière.</w:t>
      </w:r>
    </w:p>
    <w:p>
      <w:r>
        <w:rPr>
          <w:b/>
        </w:rPr>
        <w:t>E. 3</w:t>
      </w:r>
    </w:p>
    <w:p>
      <w:r>
        <w:t>En vertu de l' art. 189 al. 4 Cst. , les actes de l'Assemblée fédérale et du Conseil fédéral ne peuvent pas être portés devant le Tribunal fédéral, sauf si une loi fédérale le prévoit. Le législateur fédéral n'a pas prévu de moyen de droit contre les actes de l'Assemblée fédérale et du Conseil fédéral en lien avec les votations et les élections fédérales (arrêt 1C_338/2018 du 10 avril 2019 consid. 1.5, destiné à publication; ATF 138 I 61 consid. 7.1 p. 85). Les recourants mentionnent l' art. 189 al. 4 Cst. et précisent qu'ils ne s'en prennent pas à la loi RFFA en tant que telle. Ils prétendent que l'Assemblée fédérale, en adoptant plusieurs normes distinctes et sans rapport intrinsèque entre elles dans le même acte législatif, a délibérément violé le principe de l'unité de la matière; ils ajoutent que si les citoyens, dans une telle configuration, étaient privés de la faculté de se prévaloir du principe de l'unité de la matière pour contester le résultat d'une votation fédérale, cela reviendrait à vider le droit de référendum d'une partie de sa substance. Ce faisant, bien qu'ils s'en défendent, les recourants s'en prennent bel et bien à un acte du Parlement fédéral, lequel ne peut être attaqué devant le Tribunal fédéral. C'est en effet le Parlement fédéral qui a décidé de lier plusieurs modifications d'actes législatifs en les intégrant dans la loi fédérale relative à la réforme fiscale et au financement de l'AVS (RFFA). Au demeurant, les recourants se réfèrent en vain à l' ATF 138 I 61 , arrêt dans lequel le Tribunal fédéral constate que l' art. 189 al. 4 Cst. permet que l'état d'information global précédant une votation populaire puisse faire l'objet d'une procédure (consid. 7.4). Contrairement à la situation prévalant dans l' ATF 138 I 61 , il n'est pas ici reproché au Conseil fédéral d'avoir retenu des informations importantes dont seule l'administration fédérale disposait. Au contraire, les recourants font grief au Parlement fédéral d'avoir violé l'unité de la matière en soumettant au vote plusieurs normes distinctes et sans rapport intrinsèque entre elles. Cet élément pouvait être abordé sans difficulté dans le débat public précédant la votation (voir aussi arrêt 1C_455/2016 du 14 décembre 2016 consid. 2.4 non publié in ATF 143 I 78 ). Tel a d'ailleurs été le cas.</w:t>
      </w:r>
    </w:p>
    <w:p>
      <w:r>
        <w:rPr>
          <w:b/>
        </w:rPr>
        <w:t>E. 4</w:t>
      </w:r>
    </w:p>
    <w:p>
      <w:r>
        <w:t>Il s'ensuit que les recours doivent être rejetés. Les frais judiciaires, réduits ( art. 66 al. 1 LTF ),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