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1C_323/2018 vom 4. Juli 2018</w:t>
      </w:r>
    </w:p>
    <w:p>
      <w:r>
        <w:t>Bundesgericht, 2018-07-04, FR</w:t>
      </w:r>
    </w:p>
    <w:p>
      <w:r>
        <w:rPr>
          <w:b/>
        </w:rPr>
        <w:t xml:space="preserve">Quelle: </w:t>
      </w:r>
      <w:r>
        <w:t>https://mcp.opencaselaw.ch/entscheid/bger_1C_323_2018</w:t>
      </w:r>
    </w:p>
    <w:p>
      <w:r>
        <w:t>FR: TF 1C_323/2018 du 4 juillet 2018</w:t>
      </w:r>
    </w:p>
    <w:p>
      <w:r>
        <w:t>IT: TF 1C_323/2018 del 4 luglio 2018</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1.1</w:t>
      </w:r>
    </w:p>
    <w:p>
      <w:r>
        <w:t>Le recourant relève qu'il a été jugé par défaut dans des circonstances qui violeraient les garanties de procédure découlant de l' art. 6 CEDH . Il estime n'avoir pas été valablement cité à comparaître alors qu'il était domicilié en France. Il relève aussi s'être trouvé au Brésil lors de l'audience de jugement.</w:t>
      </w:r>
    </w:p>
    <w:p>
      <w:r>
        <w:t>Une violation du droit d'être jugé en sa présence ou du droit à un nouveau jugement garanti par l' art. 6 CEDH peut certes constituer un défaut grave de la procédure étrangère susceptible de justifier l'intervention d'une seconde instance de recours au sens de l' art. 84 LTF . En l'occurrence toutefois, il n'y a pas lieu d'admettre pour ce motif l'existence d'un cas particulièrement important. La Cour des plaintes a en effet rappelé les principes découlant sur ce point de l' art. 6 CEDH et le recourant ne prétend pas que l'instance précédente se serait écartée de la jurisprudence constante dans ce domaine. Il se contente d'évoquer un domicile à l'étranger, sans toutefois démontrer que celui-ci aurait été ou aurait dû être connu de l'instance de jugement, comme par exemple s'il avait signalé son départ aux autorités pénales ou s'il avait indiqué une nouvelle adresse à laquelle il pouvait être atteint (cf. arrêt 1C_194/2015 du 1er mai 2015 consid. 1.4.1). Il ne prétend pas non plus qu'il n'aurait aucun droit au relief du défaut aux conditions posées par l' art. 6 CEDH et par la jurisprudence ( ATF 129 II 56 consid. 6.2). Il ne se pose donc aucune question de principe à ce propos.</w:t>
      </w:r>
    </w:p>
    <w:p>
      <w:r>
        <w:rPr>
          <w:b/>
        </w:rPr>
        <w:t>E. 1.2</w:t>
      </w:r>
    </w:p>
    <w:p>
      <w:r>
        <w:t>Il n'y en a pas non plus en ce qui concerne le grief tiré de l' art. 8 CEDH . Cette disposition peut certes faire obstacle à l'extradition lorsque cette dernière apparaît comme une ingérence disproportionnée dans la vie familiale de l'intéressé (consid. 3e et 4 non publiés de l' ATF 122 II 485 ). Le Tribunal fédéral a toutefois précisé à plusieurs reprises qu'un tel refus (admis dans un unique cas concernant un père de deux filles mineures en Suisse, dont l'incarcération avait mis sa compagne, invalide à 100 % et enceinte d'un troisième enfant, dans un état anxio-dépressif avec des idées suicidaires) était tout-à-fait exceptionnel ( ATF 129 II 100 consid. 3.5 p. 105; arrêt 1C_173/2015 du 27 avril 2015). En l'occurrence, l'extradition du recourant occasionnera inévitablement des difficultés dans le maintien des relations avec sa compagne et son enfant en bas âge (difficultés inhérentes à toute mesure d'incarcération), mais la situation n'est pas comparable avec celle qui est décrite ci-dessus. L'arrêt de la Cour des plaintes est sur ce point également conforme à la jurisprudence constante.</w:t>
      </w:r>
    </w:p>
    <w:p>
      <w:r>
        <w:rPr>
          <w:b/>
        </w:rPr>
        <w:t>E. 1.3</w:t>
      </w:r>
    </w:p>
    <w:p>
      <w:r>
        <w:t>S'agissant enfin de l'exécution en Suisse de la peine prononcée à l'étranger ( art. 37 al. 1 EIMP ), l'arrêt attaqué rappelle également la jurisprudence constante selon laquelle cette possibilité n'est pas ouverte lorsque l'Etat requérant est comme en l'espèce partie à la CEExtr., cette convention ne consacrant pas un tel motif de refus d'extradition ( ATF 129 II 100 consid. 3.1 p. 102). L'autorité requérante a d'ailleurs choisi de requérir formellement l'extradition de l'intéressé, et non la délégation de la poursuite ou de l'exécution. Le recourant évoque le dépôt d'une demande dans ce sens déposée auprès de l'autorité étrangère, mais cette démarche n'a apparemment connu aucune suite et l'autorité suisse d'extradition, saisie d'une demande valable à la forme et au fond, n'avait pas à interpeller l'autorité requérante sur ce point.</w:t>
      </w:r>
    </w:p>
    <w:p>
      <w:r>
        <w:rPr>
          <w:b/>
        </w:rPr>
        <w:t>E. 2</w:t>
      </w:r>
    </w:p>
    <w:p>
      <w:r>
        <w:t>Sur le vu de ce qui précède, le recours est irrecevable. Cette issue s'imposait d'emblée, de sorte que l'assistance judiciaire ne peut être accordée au recourant. Conformément à l' art. 66 al. 1 LTF , les frais judiciaires sont mis à sa charge. Toutefois, compte tenu de la situation financière alléguée à l'appui de la demande d'assistance judiciaire, les frais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