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1C_323/2011 vom 12. Oktober 2011</w:t>
      </w:r>
    </w:p>
    <w:p>
      <w:r>
        <w:t>Bundesgericht, 2011-10-12, FR</w:t>
      </w:r>
    </w:p>
    <w:p>
      <w:r>
        <w:rPr>
          <w:b/>
        </w:rPr>
        <w:t xml:space="preserve">Quelle: </w:t>
      </w:r>
      <w:r>
        <w:t>https://mcp.opencaselaw.ch/entscheid/bger_1C_323_2011</w:t>
      </w:r>
    </w:p>
    <w:p>
      <w:r>
        <w:t>FR: TF 1C_323/2011 du 12 octobre 2011</w:t>
      </w:r>
    </w:p>
    <w:p>
      <w:r>
        <w:t>IT: TF 1C_323/2011 del 12 ottobre 2011</w:t>
      </w:r>
    </w:p>
    <w:p>
      <w:pPr>
        <w:pStyle w:val="Heading2"/>
      </w:pPr>
      <w:r>
        <w:t>Erwägungen</w:t>
      </w:r>
    </w:p>
    <w:p>
      <w:r>
        <w:rPr>
          <w:b/>
        </w:rPr>
        <w:t>E. 1</w:t>
      </w:r>
    </w:p>
    <w:p>
      <w:r>
        <w:t>L'arrêt attaqué émane du Tribunal administratif fédéral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Il ne fait pas de doute que la recourante est particulièrement atteinte par la décision attaquée et qu'elle possède la qualité pour recourir au sens de l' art. 89 al. 1 LTF . Pour le surplus, les conditions formelles de recevabilité sont remplies, de sorte qu'il y a lieu d'entrer en matière.</w:t>
      </w:r>
    </w:p>
    <w:p>
      <w:r>
        <w:rPr>
          <w:b/>
        </w:rPr>
        <w:t>E. 2</w:t>
      </w:r>
    </w:p>
    <w:p>
      <w:r>
        <w:t>Dans un grief d'ordre formel qu'il convient d'examiner en premier lieu, la recourante se plaint d'une violation de son droit d'être entendue. Le Tribunal administratif fédéral aurait dû donner suite à sa requête de procéder à son audition ainsi qu'à celle de son époux.</w:t>
      </w:r>
    </w:p>
    <w:p>
      <w:r>
        <w:rPr>
          <w:b/>
        </w:rPr>
        <w:t>E. 2.1</w:t>
      </w:r>
    </w:p>
    <w:p>
      <w:r>
        <w:t>Le droit d'être entendu garanti à l' art. 29 al. 2 Cst. comprend celui de faire administrer les preuves pour autant que celles-ci soient requises dans les formes prévues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2.2</w:t>
      </w:r>
    </w:p>
    <w:p>
      <w:r>
        <w:t>En l'occurrence, les premiers juges ont considéré que les faits pertinents étaient suffisamment établis par les pièces figurant au dossier, de sorte qu'il ne s'avérait pas indispensable de donner suite à la requête de la recourante. On peut au demeurant relever que celle-ci a versé en cause, le 28 août 2009, une déposition écrite personnelle ainsi qu'une déposition de son ex-époux, et que les intéressés ont largement pu s'exprimer par écrit au cours de la procédure. Comme l'a rappelé le Tribunal administratif fédéral, la procédure de recours régie par la PA est en principe écrite. Il n'est ainsi procédé à l'audition de parties ou de témoins que si de telles mesures d'instruction paraissent indispensables à l'établissement des faits de la cause ( art. 14 al. 1 PA ; cf. ATF 130 II 169 consid. 2.3.3 p. 173). Or, la recourante n'explique pas ce que des commentaires oraux supplémentaires auraient apporté dans la présente affaire et son grief relatif à l'établissement inexact des faits est de toute façon infondé (cf. consid. 3 ci-après). Par conséquent, le refus de procéder aux auditions requises échappe à l'arbitraire et le grief de violation du droit d'être entendu doit être rejeté.</w:t>
      </w:r>
    </w:p>
    <w:p>
      <w:r>
        <w:rPr>
          <w:b/>
        </w:rPr>
        <w:t>E. 3</w:t>
      </w:r>
    </w:p>
    <w:p>
      <w:r>
        <w:t>La recourante considère que les faits tels que retenus par l'autorité intimée sont inexacts et incomplets.</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3.2</w:t>
      </w:r>
    </w:p>
    <w:p>
      <w:r>
        <w:t>La recourante n'explique pas quels faits auraient été constatés de manière inexacte. Elle se plaint uniquement de ce que le Tribunal administratif fédéral n'a pas retenu que la procédure de divorce des époux A.________ et B.________ était extrêmement virulente. L'on ne voit toutefois pas, et elle ne tente pas de l'établir, en quoi cet élément aurait permis d'arriver à un résultat différent. Elle mentionne ensuite, de manière toute générale, qu'il existe de nombreuses divergences entre les versions des faits résultant des écritures déposées dans le cadre des mesures protectrices de l'union conjugale, puis de la procédure de divorce, et les déclarations faites par les ex-époux aux autorités fédérales dans le cadre de la présente procédure; l'autorité intimée aurait dû choisir sur quelle version s'appuyer. Elle n'indique cependant pas de quels éléments précis il s'agit, si bien qu'il n'est pas possible de déceler quels faits auraient été, à son avis, mal établis. Par ailleurs, la recourante reproche aux premiers juges de n'avoir pas tenu compte du fait que son ex-époux avait poursuivi les démarches en vue de l'adoption de ces filles. En réalité, la recourante ne critique pas l'établissement des faits par l'autorité intimée, mais lui reproche plutôt de les avoir appréciés de façon erronée. Il s'agit donc plutôt d'une question de droit que le Tribunal fédéral examine en principe d'office ( art. 106 al. 1 LTF ). Dans ces conditions, le Tribunal fédéral est lié par les faits retenus dans l'arrêt attaqué, conformément à l' art. 105 al. 1 LTF .</w:t>
      </w:r>
    </w:p>
    <w:p>
      <w:r>
        <w:rPr>
          <w:b/>
        </w:rPr>
        <w:t>E. 4</w:t>
      </w:r>
    </w:p>
    <w:p>
      <w:r>
        <w:t>Conformément aux art. 41 al. 1 de la loi fédérale du 29 septembre 1952 sur l'acquisition et la perte de la nationalité suisse (LN; RS 141.0)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4.1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5.1</w:t>
      </w:r>
    </w:p>
    <w:p>
      <w:r>
        <w:t>Dans le cas particulier, le Tribunal administratif fédéral a relevé que le court laps de temps qui s'est écoulé entre l'octroi de la naturalisation facilitée (23 juillet 2004) et la séparation des époux (à partir d'octobre 2004, au plus tard depuis le 1er novembre 2004) étaient de nature à fonder la présomption de fait que la stabilité requise du mariage n'existait déjà plus au moment de la déclaration commune faite le 16 avril 2004, à tout le moins lors du prononcé de la naturalisation facilitée intervenue le 23 juillet 2004, et cela, quand bien même les époux ne vivaient pas encore séparés à ce moment-là. Cette présomption était corroborée par plusieurs autres indices. La recourante et son époux avaient connu de sérieux problèmes conjugaux bien avant leur séparation définitive de l'automne 2004. Selon les déclarations mêmes de l'intéressée, les premières difficultés avaient surgi au sein du couple peu après le début de la vie commune en raison notamment de l'infidélité du mari. Ces problèmes conjugaux avaient conduit le couple à se séparer au mois de mars 1999 pour une période de plus d'une année puis du mois de novembre 2000 au mois de janvier 2002. Il était dès lors peu probable, dans ces circonstances, que la recourante ait pu avoir la conviction que sa communauté matrimoniale était stable, effective et tournée vers l'avenir au moment de la signature de la déclaration commune.</w:t>
      </w:r>
    </w:p>
    <w:p>
      <w:r>
        <w:t>La recourante ne conteste aucun de ces éléments, lesquels sont propres à fonder la présomption que sa naturalisation a été obtenue frauduleusement.</w:t>
      </w:r>
    </w:p>
    <w:p>
      <w:r>
        <w:rPr>
          <w:b/>
        </w:rPr>
        <w:t>E. 5.2</w:t>
      </w:r>
    </w:p>
    <w:p>
      <w:r>
        <w:t>Selon la jurisprudence précitée, il incombait dès lors à l'intéressée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t>La recourante fait valoir que le couple A.________ et B.________ avait, en 2004, surmonté les difficultés qui avaient précédemment surgi entre eux. L'adoption de ses jumelles par son ex-époux en attesterait. Or, comme l'a souligné le Tribunal administratif fédéral, le fait que son ex-époux ait poursuivi, après leur première séparation intervenue entre le printemps 1999 et le printemps 2000, les formalités nécessaires pour l'adoption de ses deux filles jumelles ne suffit pas à présumer que le couple manifestait encore, lors de la signature de la déclaration de vie commune ou au moment de l'octroi de la naturalisation facilitée, la volonté de maintenir une communauté conjugale stable et effective. La recourante affirme par ailleurs que, le couple ayant surmonté ses difficultés en 2004, le comportement adopté par B.________ à l'automne 2004, durant le voyage de son épouse, peut être considéré comme un événement soudain, propre à mettre subitement fin à une union. Il ressort de l'arrêt attaqué que, lors d'un voyage que la recourante a effectué au Cameroun en automne 2004 dans le cadre de l'exploitation de son commerce de broquante, l'intéressée a été alertée par ses filles du fait notamment que son époux négligeait ces dernières, la trompait à nouveau avec d'autres femmes et utilisait l'argent envoyé par elle pour satisfaire ses seuls plaisirs. Avec les premiers juges, l'on peut toutefois relever que l'ensemble des éléments contenus dans le dossier contredit les insertions de l'intéressée imputant la rupture de l'union conjugale aux seuls événements de l'automne 2004. En effet, la recourante avait fait mention que les difficultés conjugales étaient survenues déjà peu de temps après le mariage. L'existence précoce de ces tensions trouvent également leur confirmation dans les allégations de B.________ lors de la première procédure de mesures protectrices de l'union conjugale introduite le 6 janvier 2000 auprès du Tribunal d'arrondissement de Thoune. Ces difficultés ont en outre conduit deux fois les ex-époux à vivre séparés pendant plus d'une année, entre 1999 et 2002, ce qui démontre que l'union était déjà chancelante depuis longtemps. Il s'avère dès lors que le comportement de B.________ en octobre 2004, ainsi que son départ du domicile conjugal, ne constitue pas l'unique cause de la rupture du couple, mais qu'il a tout au plus accéléré l'état de déliquescence de l'union matrimoniale. Dans ces circonstances, il apparaît que la recourante n'a pas réussi à rendre vraisemblable la survenance d'un événement extraordinaire susceptible d'expliquer une dégradation aussi rapide du lien conjugal et que les éléments avancés ne permettent pas de renverser la présomption établie. Il en découle que les conditions d'application de l' art. 41 LN sont remplies et que le Tribunal administratif fédéral n'a pas abusé de son pouvoir d'appréciation en confirmant l'annulation de la naturalisation facilité octroyée à la recourante.</w:t>
      </w:r>
    </w:p>
    <w:p>
      <w:r>
        <w:rPr>
          <w:b/>
        </w:rPr>
        <w:t>E. 6</w:t>
      </w:r>
    </w:p>
    <w:p>
      <w:r>
        <w:t>Il résulte de ce qui précède que le recours doit être rejeté,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