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322/2024 vom 31. Mai 2024</w:t>
      </w:r>
    </w:p>
    <w:p>
      <w:r>
        <w:t>Bundesgericht, 2024-05-31, FR</w:t>
      </w:r>
    </w:p>
    <w:p>
      <w:r>
        <w:rPr>
          <w:b/>
        </w:rPr>
        <w:t xml:space="preserve">Quelle: </w:t>
      </w:r>
      <w:r>
        <w:t>https://mcp.opencaselaw.ch/entscheid/bger_1C_322_2024</w:t>
      </w:r>
    </w:p>
    <w:p>
      <w:r>
        <w:t>FR: TF 1C 322/2024 du 31 mai 2024</w:t>
      </w:r>
    </w:p>
    <w:p>
      <w:r>
        <w:t>IT: TF 1C 322/2024 del 31 maggio 2024</w:t>
      </w:r>
    </w:p>
    <w:p>
      <w:pPr>
        <w:pStyle w:val="Heading2"/>
      </w:pPr>
      <w:r>
        <w:t>Regeste</w:t>
      </w:r>
    </w:p>
    <w:p>
      <w:r>
        <w:t>Entraide judiciaire internationale à l'État du Qatar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w:t>
      </w:r>
    </w:p>
    <w:p>
      <w:r>
        <w:rPr>
          <w:b/>
        </w:rPr>
        <w:t>E. 2</w:t>
      </w:r>
    </w:p>
    <w:p>
      <w:r>
        <w:t>La présente cause porte certes sur la transmission de documents bancaires, soit des renseignements touchant le domaine secret des recourantes. Toutefois, compte tenu des faits à l'origine de la demande (soit des infractions de blanchiment d'argent) et de la nature de la transmission envisagée, limitée à la documentation relative à trois comptes bancaires, le cas ne revêt en soi aucune importance particulière.</w:t>
      </w:r>
    </w:p>
    <w:p>
      <w:r>
        <w:rPr>
          <w:b/>
        </w:rPr>
        <w:t>E. 2.1</w:t>
      </w:r>
    </w:p>
    <w:p>
      <w:r>
        <w:t>Les recourantes relèvent que, dans leur opposition auprès du MPC, elles faisaient valoir qu'aucune procédure pour soustraction fiscale n'était ouverte au Panama, et que l'état de fait présenté ne permettait pas de conclure que les impôts prétendument soustraits s'élèveraient à plus de 300'000 fr. (élément constitutif objectif de l'infraction de blanchiment du produit d'un délit fiscal qualifié). La Cour des plaintes ne répondrait pas à cet argument. La question de l'existence d'indices d'un délit fiscal qualifié ( art. 305bis ch. 1bis CP ) comme infraction préalable au blanchiment d'argent constituerait selon les recourantes une question de principe. A propos de la double incrimination, la Cour des plaintes a rappelé que l'entraide judiciaire peut être accordée pour des infractions de blanchiment d'argent sans que l'autorité requérante n'ait à prouver la commission d'une infraction préalable. L'existence de transactions suspectes ou dénuées de justifications apparentes ainsi que des montages financiers complexes peuvent suffire à l'octroi de l'entraide ( ATF 129 II 97 consid. 3). La Cour des plaintes a ensuite considéré, en se fondant sur l'état de fait présenté par l'autorité requérante, que les montants litigieux pouvaient avoir été versés afin d'éluder l'impôt sur les jeux au Panama. Contrairement à ce que soutiennent les recourantes, l'ouverture d'une procédure formelle dans ce pays est sans influence sur l'existence même d'une telle infraction. Quant au montant de 300'000 fr. fixé à l' art. 305bis ch. 1bis CP pour la reconnaissance d'un délit fiscal qualifié, la Cour des plaintes ne s'est certes pas prononcée à ce propos. Elle n'avait toutefois pas à le faire dès lors que selon l' art. 64 EIMP (RS 351.1), la réalisation de la condition de double incrimination pour une seule infraction est suffisante pour l'octroi de l'entraide judiciaire. Or, la Cour des plaintes a retenu, à titre subsidiaire, que les faits présentés par l'autorité requérante pouvaient aussi être constitutifs d'abus de confiance ou de gestion déloyale, voire de vol. Les recourantes contestent certes cette appréciation, mais il ne se pose sur ces points aucune question de principe, et les recourantes ne soutiennent pas que la Cour des plaintes se serait d'une manière ou d'une autre écartée de la jurisprudence constante. Le sort de la présente cause ne dépend dès lors pas de la résolution d'une quelconque question de principe.</w:t>
      </w:r>
    </w:p>
    <w:p>
      <w:r>
        <w:rPr>
          <w:b/>
        </w:rPr>
        <w:t>E. 2.2</w:t>
      </w:r>
    </w:p>
    <w:p>
      <w:r>
        <w:t>Les recourantes se plaignent également d'une violation de leur droit d'être entendues et d'une violation du principe de la proportionnalité. Elles n'en font toutefois pas un motif d'entrée en matière, alors que, comme cela est rappelé ci-dessus, cette démonstration leur appartient.</w:t>
      </w:r>
    </w:p>
    <w:p>
      <w:r>
        <w:rPr>
          <w:b/>
        </w:rPr>
        <w:t>E. 3</w:t>
      </w:r>
    </w:p>
    <w:p>
      <w:r>
        <w:t>Sur le vu de ce qui précède, la condition posée à l' art. 84 al. 2 LTF (dont il convient de rappeler que le but est de limiter fortement l'accès au Tribunal fédéral dans le domaine de l'entraide judiciaire, en ne permettant de recourir que dans un nombre très limité de cas jugés particulièrement importants - ATF 145 IV 99 consid. 1.2 et les références) n'est pas remplie, ce qui entraîne l'irrecevabilité du recours. Conformément à l' art. 66 al. 1 LTF , les frais judiciaires sont mis à la charge solidaire des recourantes qui succombent.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