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1C_322/2007 vom 7. Januar 2008</w:t>
      </w:r>
    </w:p>
    <w:p>
      <w:r>
        <w:t>Bundesgericht, 2008-01-07, FR</w:t>
      </w:r>
    </w:p>
    <w:p>
      <w:r>
        <w:rPr>
          <w:b/>
        </w:rPr>
        <w:t xml:space="preserve">Quelle: </w:t>
      </w:r>
      <w:r>
        <w:t>https://mcp.opencaselaw.ch/entscheid/bger_1C_322_2007</w:t>
      </w:r>
    </w:p>
    <w:p>
      <w:r>
        <w:t>FR: TF 1C_322/2007 du 7 janvier 2008</w:t>
      </w:r>
    </w:p>
    <w:p>
      <w:r>
        <w:t>IT: TF 1C_322/2007 del 7 gennaio 2008</w:t>
      </w:r>
    </w:p>
    <w:p>
      <w:pPr>
        <w:pStyle w:val="Heading2"/>
      </w:pPr>
      <w:r>
        <w:t>Erwägungen</w:t>
      </w:r>
    </w:p>
    <w:p>
      <w:r>
        <w:rPr>
          <w:b/>
        </w:rPr>
        <w:t>E. 1</w:t>
      </w:r>
    </w:p>
    <w:p>
      <w:r>
        <w:t>La décision ayant été rendue après le 1er janvier 2007, la loi sur le Tribunal fédéral du 17 juin 2005 (LTF) est applicable à la présente procédure de recours ( art. 132 al. 1 LTF ).</w:t>
      </w:r>
    </w:p>
    <w:p>
      <w:r>
        <w:rPr>
          <w:b/>
        </w:rPr>
        <w:t>E. 2</w:t>
      </w:r>
    </w:p>
    <w:p>
      <w:r>
        <w:t>Le recours est dirigé contre une décision prise en dernière instance cantonale dans le domaine des droits de l'aménagement du territoire et des constructions ainsi que de la protection de l'environnement (ordonnance du 26 août 1998 sur l'assainissement des sites pollués [RS 814.680; OSites]; ordonnance du 10 décembre 1990 sur le traitement des déchets [RS 814.600; OTD]). Il est recevable comme recours en matière de droit public au sens des art. 82 ss LTF et 34 al. 1 LAT dans sa teneur actuelle selon le ch. 64 de l'annexe à la loi sur le Tribunal administratif fédéral. Aucune des exceptions mentionnées à l' art. 83 LTF n'est réalisée. En tant que destinataires de l'ordre de remettre les lieux en état et de mandater une entreprise en vue de l'exécution d'une investigation préalable au sens de l' art. 7 OSites , les recourants sont directement touchés, de sorte qu'ils disposent de la qualité pour recourir ( art. 89 LTF ).</w:t>
      </w:r>
    </w:p>
    <w:p>
      <w:r>
        <w:rPr>
          <w:b/>
        </w:rPr>
        <w:t>E. 3</w:t>
      </w:r>
    </w:p>
    <w:p>
      <w:r>
        <w:t>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 ATF 133 II 249 consid. 1.4.2 p. 254). Le recourant doit ainsi démontrer par une argumentation précise que la décision attaquée se fonde sur une application de la loi ou une appréciation des preuves manifestement insoutenables.</w:t>
      </w:r>
    </w:p>
    <w:p>
      <w:r>
        <w:rPr>
          <w:b/>
        </w:rPr>
        <w:t>E. 4</w:t>
      </w:r>
    </w:p>
    <w:p>
      <w:r>
        <w:t>Dans un premier moyen, les recourants soutiennent d'une part que les autorités n'ont pas considéré les autres membres de l'hoirie comme parties nécessaires à la procédure, de sorte que la problématique de la participation de ces derniers aux actes reprochés n'a pas été élucidée. D'autre part, dire que A.________ SA a été perturbatrice par situation ne peut pas être admis dès l'instant où cette société sera éventuellement appelée à devoir répondre à l'égard de la communauté héréditaire des actes qui pourront éventuellement lui être opposés. L'autorité cantonale aurait par conséquent fait preuve d'arbitraire.</w:t>
      </w:r>
    </w:p>
    <w:p>
      <w:r>
        <w:rPr>
          <w:b/>
        </w:rPr>
        <w:t>E. 4.1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4.2</w:t>
      </w:r>
    </w:p>
    <w:p>
      <w:r>
        <w:t>Les recourants soulèvent ces griefs pour la première fois devant le Tribunal fédéral.</w:t>
      </w:r>
    </w:p>
    <w:p>
      <w:r>
        <w:t>Bien que les griefs de violation des droits constitutionnels soient soumis à la règle de l'épuisement des instances cantonales ( art. 80 LTF ), la jurisprudence admet la recevabilité de moyens de droit nouveaux lorsque l'autorité cantonale de dernière instance disposait d'un libre pouvoir d'examen et devait appliquer le droit d'office. Cette exception ne vaut toutefois que pour les griefs qui ne se confondent pas avec l'arbitraire ( ATF 119 Ia 88 consid. 1a p. 90 et la jurisprudence citée). En l'occurrence, soulevés précisément en relation avec l'interdiction de l'arbitraire, les moyens nouveaux des recourants sont irrecevables.</w:t>
      </w:r>
    </w:p>
    <w:p>
      <w:r>
        <w:t>Par ailleurs, la recevabilité de moyens de droit nouveaux est également soumise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des manoeuvres dilatoires ( ATF 133 III 638 consid. 2 p. 640; ATF 119 Ia 88 consid. 1a p. 90 s.; 117 Ia 491 consid. 2a p. 495, 522 consid. 3a p. 525 s.).</w:t>
      </w:r>
    </w:p>
    <w:p>
      <w:r>
        <w:t>En l'espèce, tous les membres de l'hoirie, ainsi que la commune, ont été invités le 17 décembre 2004 à répondre à la question de savoir qui, de A.________ et/ou de A.________ SA et/ou d'autres personnes, avait réalisé les travaux litigieux. Tous ont désigné A.________ et/ou A.________ SA. Seuls les recourants n'ont pas répondu. Ils ne sauraient dès lors invoquer ces griefs à ce stade de la procédure.</w:t>
      </w:r>
    </w:p>
    <w:p>
      <w:r>
        <w:t>A supposer qu'ils soient recevables, les moyens devraient de toute manière être rejetés. Le Préfet a en effet considéré qu'au vu des pièces versées au dossier, il s'avérait que A.________ et A.________ SA étaient les seuls auteurs des travaux litigieux. Ces derniers n'avaient du reste jamais prétendu le contraire. Ce constat était corroboré par le fait que l'ouvrage en cause servait leurs seuls intérêts. Tout au plus A.________ avait affirmé que feu H.________ avait donné tacitement son accord aux travaux, mais les enfants et l'épouse de ce dernier contestaient ces affirmations. Les recourants n'expliquent nullement en quoi ce point de vue serait insoutenable. Leurs arguments en relation avec la qualité de A.________ SA sont au demeurant incompréhensibles. Il en résulte que les griefs doivent être rejetés, dans la très faible mesure de leur recevabilité.</w:t>
      </w:r>
    </w:p>
    <w:p>
      <w:r>
        <w:rPr>
          <w:b/>
        </w:rPr>
        <w:t>E. 5</w:t>
      </w:r>
    </w:p>
    <w:p>
      <w:r>
        <w:t>Dans un deuxième moyen, les recourants se plaignent d'arbitraire dans l'établissement des faits.</w:t>
      </w:r>
    </w:p>
    <w:p>
      <w:r>
        <w:rPr>
          <w:b/>
        </w:rPr>
        <w:t>E. 5.1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Message précité, FF 2001 p. 4135), ce qu'il lui appartient de démontrer par une argumentation répondant aux exigences de l' art. 42 al. 2 LTF , respectivement de l' art. 106 al. 2 LTF (arrêt 1C_64/2007 du 2 juillet 2007 consid. 5.1).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5.2</w:t>
      </w:r>
    </w:p>
    <w:p>
      <w:r>
        <w:t>Les recourants relèvent qu'un examen plus approfondi des plans figurant au dossier démontrerait que le Tribunal administratif n'aurait pas pris en considération la situation créée par la révision du PAL en 1999, la zone d'activité 1 fixée par ce dernier dépassant assez largement celle retenue par l'autorité cantonale. A l'appui de leur argumentation, les recourants produisent un plan établi par le bureau de géomètre Y.________ le 28 septembre 2007 qui reporte les limites du PAL sur la parcelle n° 227. Par ailleurs, le PAL contiendrait en lui-même une incohérence en ce sens qu'il ne tiendrait pas compte du permis de construire selon le plan 78/479/1x. La décision du 24 août 2007 serait donc inapplicable car il ne serait pas possible de déterminer exactement le secteur sis en zone agricole.</w:t>
      </w:r>
    </w:p>
    <w:p>
      <w:r>
        <w:t>Contrairement à ce que semblent croire les recourants, la surface coloriée en brun par Z.________ ne désigne pas les secteurs qui ont bénéficié d'une autorisation de construire, ce que confirme la lecture de la légende. En outre, ainsi que le Tribunal administratif l'a rappelé dans ses observations, l'autorité cantonale n'a jamais admis que le plan 78/479/x1 avait été suivi d'une autorisation de construire. Il a au contraire jugé qu'il n'était pas crédible qu'un permis ait été obtenu pour la construction d'une place de stockage industrielle en zone agricole. Cela était du reste corroboré par le fait qu'à la fin de l'année 1979, les intéressés avaient reçu l'ordre d'arrêter les travaux en raison des dépassements importants observés. Le Tribunal administratif a ajouté qu'il était parfaitement au courant de l'emprise de la zone d'activité lors du prononcé de l'arrêt.</w:t>
      </w:r>
    </w:p>
    <w:p>
      <w:r>
        <w:t>Dans ces conditions, on ne discerne pas dans quelle mesure le Tribunal administratif aurait procédé à une constatation arbitraire des faits et les recourants n'apportent pas davantage d'explications à ce sujet. Au demeurant, il est évident que les recourants ne sauraient remettre en cause le PAL adopté en 1999 dans le cadre de la présente procédure. Le grief doit dès lors être rejeté.</w:t>
      </w:r>
    </w:p>
    <w:p>
      <w:r>
        <w:rPr>
          <w:b/>
        </w:rPr>
        <w:t>E. 6</w:t>
      </w:r>
    </w:p>
    <w:p>
      <w:r>
        <w:t>Enfin, les recourants font valoir qu'en 1999, la commune a révisé son PAL et qu'une importante partie de la zone concernée a ainsi été légalisée par l'extension de la zone d'activité. L'autorité communale se serait du reste immédiatement rendue compte du caractère excessif des mesures d'aménagement entreprises. Elle aurait pu, en 1980 déjà, prendre des mesures mais y avait renoncé en tenant compte de la révision du PAL. En application du principe de la proportionnalité et de la garantie de la propriété, il ne serait dès lors pas envisageable de rétablir l'état antérieur.</w:t>
      </w:r>
    </w:p>
    <w:p>
      <w:r>
        <w:rPr>
          <w:b/>
        </w:rPr>
        <w:t>E. 6.1</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6.2</w:t>
      </w:r>
    </w:p>
    <w:p>
      <w:r>
        <w:t>Il convient de distinguer selon le type de zone. Concernant la zone d'activité, les recourants perdent à nouveau de vue que la tolérance dont ils font état ne concerne que l'aménagement d'un remblai ordinaire en zone d'activité. Comme l'a souligné le Tribunal administratif, les autorités n'ont jamais toléré l'installation d'une décharge sauvage. Or, c'est précisément là l'objet de la contestation, à savoir l'éventuelle contamination du site et la nécessité d'entreprendre des investigations avant de se prononcer sur un éventuel rétablissement de l'état antérieur. Le Tribunal administratif n'a en effet pas exclu qu'en l'absence de contamination du site, le remblai située en zone d'activité puisse être toléré. Les arguments des recourants ne sont donc pas pertinents sur ce point.</w:t>
      </w:r>
    </w:p>
    <w:p>
      <w:r>
        <w:rPr>
          <w:b/>
        </w:rPr>
        <w:t>E. 6.3</w:t>
      </w:r>
    </w:p>
    <w:p>
      <w:r>
        <w:t>S'agissant maintenant de la zone agricole, la séparation entre zone à bâtir et zone inconstructible est un principe essentiel d'aménagement qui, en dehors des exceptions prévues par la loi, doit demeurer d'application stricte ( ATF 111 Ib 213 consid. 6b p. 225). L'intérêt public apparaît dès lors comme prépondérant. Par ailleurs, comme l'a relevé le Tribunal administratif, les recourants ne se sont pas contentés de détourner à des fins industrielles une partie de la parcelle sise en zone agricole. Ils ont en effet également remblayé le secteur avec des déchets souillés. L'intérêt public au maintien de terres agricoles non polluées s'oppose dès lors d'autant plus au statu quo.</w:t>
      </w:r>
    </w:p>
    <w:p>
      <w:r>
        <w:t>Les recourants ne sauraient se prévaloir de leur bonne foi, dans la mesure où il est exclu qu'ils aient ignoré que les travaux en question ne pouvaient pas être autorisés en zone agricole. Pour le surplus, ils ne contestent pas l'argumentation du Tribunal administratif. Ils ne remettent pas en question la prépondérance des intérêts publics avancés, pas plus qu'ils ne développent leur propre intérêt privé.</w:t>
      </w:r>
    </w:p>
    <w:p>
      <w:r>
        <w:t>Dans ces conditions, pour peu qu'il soit motivé conformément aux exigences posées par la LTF, le grief doit être rejeté. L'arrêt entrepris ne saurait en effet être considéré comme violant le principe de la proportionnalité.</w:t>
      </w:r>
    </w:p>
    <w:p>
      <w:r>
        <w:rPr>
          <w:b/>
        </w:rPr>
        <w:t>E. 7</w:t>
      </w:r>
    </w:p>
    <w:p>
      <w:r>
        <w:t>Les recourants concluaient également à l'annulation de l'octroi de dépens à Me José Kaelin. En l'absence de toute motivation sur ce point, il ne sera pas entré en matière (art. 42 al. 1 et 2, 106 al. 2 LTF).</w:t>
      </w:r>
    </w:p>
    <w:p>
      <w:r>
        <w:rPr>
          <w:b/>
        </w:rPr>
        <w:t>E. 8</w:t>
      </w:r>
    </w:p>
    <w:p>
      <w:r>
        <w:t>Il s'ensuit que le recours doit être rejeté, dans la mesure où il est recevable. Les recourants, qui succombent, doivent supporter l'émolument judiciaire ( art. 65 et 66 LTF ). Ces derniers verseront en outre une indemnité de dépens aux intimées C.________ et D.________.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