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1C_321/2022 vom 12. Juli 2022</w:t>
      </w:r>
    </w:p>
    <w:p>
      <w:r>
        <w:t>Bundesgericht, 2022-07-12, FR</w:t>
      </w:r>
    </w:p>
    <w:p>
      <w:r>
        <w:rPr>
          <w:b/>
        </w:rPr>
        <w:t xml:space="preserve">Quelle: </w:t>
      </w:r>
      <w:r>
        <w:t>https://mcp.opencaselaw.ch/entscheid/bger_1C_321_2022</w:t>
      </w:r>
    </w:p>
    <w:p>
      <w:r>
        <w:t>FR: TF 1C_321/2022 du 12 juillet 2022</w:t>
      </w:r>
    </w:p>
    <w:p>
      <w:r>
        <w:t>IT: TF 1C_321/2022 del 12 luglio 2022</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w:t>
      </w:r>
    </w:p>
    <w:p>
      <w:r>
        <w:t>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 présente cause porte sur la transmission de documents bancaires, de sorte que la première condition posée à l' art. 84 al. 1 LTF est réalisée. S'agissant de la seconde, les recourants estiment que le refus de la Cour des plaintes d'entrer en matière sur le recours consacrerait un formalisme excessif et une appréciation arbitraire des pièces du dossier, en ne tenant pas compte de l'intervention de l'ayant droit économique de la société et des documents produits pour démontrer sa qualité pour agir.</w:t>
      </w:r>
    </w:p>
    <w:p>
      <w:r>
        <w:rPr>
          <w:b/>
        </w:rPr>
        <w:t>E. 1.2</w:t>
      </w:r>
    </w:p>
    <w:p>
      <w:r>
        <w:t>En matière d'entraide judiciaire, la qualité pour recourir s'examine exclusivement sur la base de l' art. 80h EIMP (RS 351.1), lex specialis de même rang que l' art. 48 PA (RS 172.021). Selon la jurisprudence constante relative à cette disposition (ainsi qu'à la disposition d'exécution de l' art. 9a let. a OEIMP [RS 351.11]), a seul qualité pour s'opposer à la transmission de la documentation relative à un compte bancaire, le titulaire de celui-ci ( ATF 127 II 198 consid 2d; 126 II 258 consid. 2d/aa; 125 II 356 consid. 3b/bb, et les arrêts cités). Exceptionnellement la qualité pour agir est reconnue à l'ayant droit d'une société titulaire de compte lorsque celle-ci a été dissoute, sous réserve de l'abus de droit ( ATF 139 II 404 consid. 2.1.1; 137 IV 134 consid. 5.2.1; 123 II 153 consid. 2c et d et les arrêts cités). Il appartient dans ce cas à l'ayant droit de prouver la liquidation, documents officiels à l'appui. Il faut en outre que l'acte de dissolution - ou tout autre document disponible - indique clairement l'ayant droit comme son bénéficiaire (arrêts 1C_2/2016 du 11 janvier 2016 consid. 2.2; 1C_183/2012 du 12 avril 2012 consid. 1.4; 1C_370/2012 du 3 octobre 2012 consid. 2.7) et que la liquidation n'apparaisse pas abusive.</w:t>
      </w:r>
    </w:p>
    <w:p>
      <w:r>
        <w:rPr>
          <w:b/>
        </w:rPr>
        <w:t>E. 1.3</w:t>
      </w:r>
    </w:p>
    <w:p>
      <w:r>
        <w:t>Le recours du 7 avril 2022 adressé à la Cour des plaintes était formé par la société I.________. Celle-ci ayant été invitée à produire les documents relatifs à sa qualité pour agir, il est apparu que la société avait été dissoute en 2013 et ne pouvait dès lors plus agir en justice. Cela n'est pas contesté par les recourants et implique déjà l'irrecevabilité du recours en tant qu'il émane de la société, celle-ci n'ayant pas la personnalité nécessaire pour agir en justice.</w:t>
      </w:r>
    </w:p>
    <w:p>
      <w:r>
        <w:t>Dans sa lettre du 4 mai 2022, l'avocat des recourants estimait que les documents produits faisaient ressortir que F.________ était l'ayant droit de la société. Les documents en question sont une copie de passeport de F.________, un certificat de dissolution, divers documents dont il ressort que la société n'avait ni activité commerciale ni avoirs, ainsi que le formulaire A de la banque qui désigne F.________ comme bénéficiaire économique du compte. En revanche, aucun document n'indique clairement que l'intéressé serait bénéficiaire de la liquidation de la société, de sorte que celui-ci ne pouvait être mis au bénéfice de la jurisprudence qui, sur la base du texte clair de la loi, ne reconnaît la qualité pour recourir que de manière exceptionnelle à l'ayant droit économique, lorsqu'il apparaît clairement que celui-ci succède à la société liquidée (arrêt 1C_401/2021 du 28 juillet 2021 consid. 2.3 et les références citées).</w:t>
      </w:r>
    </w:p>
    <w:p>
      <w:r>
        <w:t>Même si la Cour des plaintes n'a pas expressément examiné la question de la qualité pour agir de l'ayant droit, son arrêt d'irrecevabilité apparaît, dans son résultat, conforme à la jurisprudence constante précitée et ne consacre aucun formalisme excessif, ni aucun arbitraire.</w:t>
      </w:r>
    </w:p>
    <w:p>
      <w:r>
        <w:rPr>
          <w:b/>
        </w:rPr>
        <w:t>E. 2</w:t>
      </w:r>
    </w:p>
    <w:p>
      <w:r>
        <w:t>Il s'ensuit que le recours est irrecevable. Les recourants, qui succombent, supportent solidairement entre eux les frais judiciaires ( art. 66 al. 1 LTF ). Il n'est pas alloué de dépens ( art. 68 al. 3 LTF ).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