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1C_31/2017 vom 2. Februar 2017</w:t>
      </w:r>
    </w:p>
    <w:p>
      <w:r>
        <w:t>Bundesgericht, 2017-02-02, DE</w:t>
      </w:r>
    </w:p>
    <w:p>
      <w:r>
        <w:rPr>
          <w:b/>
        </w:rPr>
        <w:t xml:space="preserve">Quelle: </w:t>
      </w:r>
      <w:r>
        <w:t>https://mcp.opencaselaw.ch/entscheid/bger_1C_31_2017</w:t>
      </w:r>
    </w:p>
    <w:p>
      <w:r>
        <w:t>FR: TF 1C_31/2017 du 2 février 2017</w:t>
      </w:r>
    </w:p>
    <w:p>
      <w:r>
        <w:t>IT: TF 1C_31/2017 del 2 febbraio 2017</w:t>
      </w:r>
    </w:p>
    <w:p>
      <w:pPr>
        <w:pStyle w:val="Heading2"/>
      </w:pPr>
      <w:r>
        <w:t>Erwägungen</w:t>
      </w:r>
    </w:p>
    <w:p>
      <w:r>
        <w:rPr>
          <w:b/>
        </w:rPr>
        <w:t>E. 1</w:t>
      </w:r>
    </w:p>
    <w:p>
      <w:r>
        <w:t>Die Staatsanwaltschaft Lenzburg-Aarau verurteilte A.________ mit Strafbefehl vom 6. Oktober 2015 wegen Missachtung der zulässigen Höchstgeschwindigkeit ausserorts zu einer Geldstrafe von 40 Tagessätzen zu je Fr. 90.--, bedingt aufgeschoben bei einer Probezeit von 3 Jahren, und einer Busse von Fr. 900.--. A.________ wird vorgeworfen, am 1. September 2015 mit seinem Fahrzeug in Hendschiken, ausserorts, mit 120 km/h bzw. 114 km/h (nach Abzug der Toleranz) anstatt der erlaubten 80 km/h gefahren zu sein.</w:t>
      </w:r>
    </w:p>
    <w:p>
      <w:r>
        <w:rPr>
          <w:b/>
        </w:rPr>
        <w:t>E. 2</w:t>
      </w:r>
    </w:p>
    <w:p>
      <w:r>
        <w:t>Mit Verfügung vom 3. Dezember 2015 aberkannte das Strassenverkehrsamt des Kantons Aargau A.________ den ausländischen Führer-ausweis für die Dauer von zwölf Monaten. Dagegen erhob A.________ am 10. Dezember 2015 Beschwerde, welche das Departement Volkswirtschaft und Inneres des Kantons Aargau mit Entscheid vom 12. Juli 2016 abwies. Gegen diesen Entscheid gelangte A.________ mit Beschwerde vom 16. September 2016 an das Verwaltungsgericht des Kantons Aargau. Mit Urteil vom 14. Dezember 2016 wies das Verwaltungsgericht die Beschwerde ab. Zur Begründung führte es zusammenfassend aus, dass der Beschwerdeführer mit dem Überschreiten der Höchstgeschwindigkeit von 80 km/h um 34 km/h den Tatbestand einer groben Verletzung von Verkehrsregeln erfüllt habe. Das Vorliegen des geltend gemachten Notstands sei mangels lebensbedrohlicher Situation zu verneinen. Es liege eine schwere Verkehrsregelverletzung vor. Dem Beschwerdeführer sei der Führerausweis in den vorangegangenen fünf Jahren bereits wegen einer schweren Widerhandlung entzogen worden, weshalb die verfügte Mindestentzugsdauer von zwölf Monaten nicht zu beanstanden sei.</w:t>
      </w:r>
    </w:p>
    <w:p>
      <w:r>
        <w:rPr>
          <w:b/>
        </w:rPr>
        <w:t>E. 3</w:t>
      </w:r>
    </w:p>
    <w:p>
      <w:r>
        <w:t>A.________ führt mit Eingabe vom 19. Januar 2017 (Postaufgabe 20. Januar 2017) Beschwerde in öffentlich-rechtlichen Angelegenheiten gegen das Urteil des Verwaltungsgerichts des Kantons Aargau. Das Bundesgericht hat davon abgesehen, Stellungnahmen zur Beschwerde einzuholen.</w:t>
      </w:r>
    </w:p>
    <w:p>
      <w:r>
        <w:rPr>
          <w:b/>
        </w:rPr>
        <w:t>E. 4</w:t>
      </w:r>
    </w:p>
    <w:p>
      <w:r>
        <w:t>Der Beschwerdeführer ersucht um mündliche Anhörung. Soweit er mit der Anhörung seine Beschwerde ergänzen will, ist das Gesuch abzuweisen. Der Beschwerdeführer hat seine Beschwerde innert der Beschwerdefrist zu begründen (Art. 100 in Verbindung mit Art. 42 BGG ). Als gesetzlich bestimmte Frist kann die Beschwerdefrist nicht erstreckt werden ( Art. 47 Abs. 1 BGG ). Es geht somit nicht an, mittels einer mündlichen Anhörung eine Erstreckung der Beschwerdefrist zu erwirken. Ausserdem genügt die Beschwerde - wie den nachfolgenden Ausführungen entnommen werden kann - den gesetzlichen Formerfordernissen offensichtlich nicht, weshalb auf sie im vereinfachten Verfahren nach Art. 108 BGG nicht einzutreten ist. Deshalb besteht auch insoweit von vornherein kein Anspruch auf eine mündliche Anhörung.</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Verwaltungsgerichts nicht rechtsgenüglich auseinander und vermag mit der Darstellung seiner Sicht der Dinge nicht konkret aufzuzeigen, inwiefern die Bestätigung des Ausweisentzugs durch das Verwaltungsgericht in rechts- bzw. verfassungswidriger Weise erfolgt sein sollte.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6</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