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1C_31/2008 vom 31. März 2008</w:t>
      </w:r>
    </w:p>
    <w:p>
      <w:r>
        <w:t>Bundesgericht, 2008-03-31, FR</w:t>
      </w:r>
    </w:p>
    <w:p>
      <w:r>
        <w:rPr>
          <w:b/>
        </w:rPr>
        <w:t xml:space="preserve">Quelle: </w:t>
      </w:r>
      <w:r>
        <w:t>https://mcp.opencaselaw.ch/entscheid/bger_1C_31_2008</w:t>
      </w:r>
    </w:p>
    <w:p>
      <w:r>
        <w:t>FR: TF 1C_31/2008 du 31 mars 2008</w:t>
      </w:r>
    </w:p>
    <w:p>
      <w:r>
        <w:t>IT: TF 1C_31/2008 del 31 marzo 2008</w:t>
      </w:r>
    </w:p>
    <w:p>
      <w:pPr>
        <w:pStyle w:val="Heading2"/>
      </w:pPr>
      <w:r>
        <w:t>Erwägungen</w:t>
      </w:r>
    </w:p>
    <w:p>
      <w:r>
        <w:rPr>
          <w:b/>
        </w:rPr>
        <w:t>E. 1</w:t>
      </w:r>
    </w:p>
    <w:p>
      <w:r>
        <w:t>La voie du recours en matière de droit public, au sens des art. 82 ss LTF , est en principe ouverte contre les décisions prises en dernière instance cantonale au sujet de mesures administratives de retrait du permis de conduire. Le recourant est particulièrement atteint par la décision attaquée - qui confirme le retrait de son permis de conduire pour une durée de six mois - et il a un intérêt digne de protection à son annulation; il a donc la qualité pour recourir au sens de l' art. 89 al. 1 let. a et b LTF .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Le recourant reproche au Tribunal administratif d'avoir violé l' art. 23 al. 1 LCR en considérant que la décision de retrait de permis du 27 octobre 2006 avait été valablement notifiée.</w:t>
      </w:r>
    </w:p>
    <w:p>
      <w:r>
        <w:rPr>
          <w:b/>
        </w:rPr>
        <w:t>E. 2.1</w:t>
      </w:r>
    </w:p>
    <w:p>
      <w:r>
        <w:t>En matière de retrait du permis de conduire, la procédure de première instance est de la compétence des cantons, sous réserve des exigences minimales prévues par l' art. 23 LCR (André Bussy/ Baptiste Rusconi, Code suisse de la circulation routière, 3e éd., Lausanne 1996, n. 2.1 ad art. 23 LCR ). L' art. 23 al. 1 LCR prévoit que le retrait d'un permis de conduire doit être notifié par écrit, avec indication des motifs. Selon la jurisprudence,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(cf. ATF 130 III 396 consid. 1.2.3 p. 399 et les arrêts cités).</w:t>
      </w:r>
    </w:p>
    <w:p>
      <w:r>
        <w:rPr>
          <w:b/>
        </w:rPr>
        <w:t>E. 2.2</w:t>
      </w:r>
    </w:p>
    <w:p>
      <w:r>
        <w:t>Le recourant prétend qu'au moment des tentatives d'envoi du premier retrait de permis par le SAN - soit les 27 et 31 octobre 2006 - il ne disposait d'aucune boîte aux lettres à l'adresse rue X.________, où il aurait été domicilié "sans le vouloir" par l'Office cantonal de la population. On voit mal comment il peut soutenir une telle thèse de bonne foi, dans la mesure où il a bien reçu à cette adresse le courrier du SAN du 10 octobre 2006 et dès lors qu'il y a répondu le 18 octobre 2006, en mentionnant également cette adresse. Pour les mêmes raisons, le recourant est particulièrement malvenu de reprocher au SAN de n'avoir pas tenté de nouveaux envois aux deux autres adresses dont ce service aurait prétendument eu connaissance. Dès lors que l'intéressé savait pertinemment qu'une décision allait lui être envoyée à l'adresse qu'il avait lui-même donnée quelques jours auparavant, il lui appartenait de prendre les dispositions utiles pour la réceptionner.</w:t>
      </w:r>
    </w:p>
    <w:p>
      <w:r>
        <w:t>Dans son courrier du 10 octobre 2006, le SAN a informé le recourant du fait qu'une mesure administrative telle qu'un retrait de permis était envisagée à son encontre. L'intéressé a répondu à ce courrier mais il a ensuite omis de retirer les courriers du SAN et évité de s'informer sur le sort de la cause. Or, celui qui rend plus difficile la notification d'une décision prévisible doit en assumer les conséquences et s'accommoder d'une présomption de notification ou d'une notification par la voie édictale. Dans le cas d'espèce, la voie de la publication dans la Feuille d'avis officielle était justifiée; vu le comportement du destinataire, il s'agissait même du seul moyen permettant la notification. En procédant de la sorte, le SAN n'a donc aucunement violé l' art. 23 al. 1 LCR .</w:t>
      </w:r>
    </w:p>
    <w:p>
      <w:r>
        <w:rPr>
          <w:b/>
        </w:rPr>
        <w:t>E. 2.3</w:t>
      </w:r>
    </w:p>
    <w:p>
      <w:r>
        <w:t>Le recourant se plaint en outre d'une violation de l' art. 46 al. 4 LPA /GE, aux termes duquel la notification a lieu par publication lorsque l'adresse du destinataire est inconnue. Ce grief est irrecevable, dès lors que la violation du droit cantonal ne fait pas partie des motifs invocables devant le Tribunal fédéral, sous réserve des cas visés à l' art. 95 let . c à e LTF. Au demeurant, même si l'on considérait que le recourant entendait se plaindre d'une application arbitraire de l' art. 46 al. 4 LPA /GE, ce moyen aurait dû être rejeté. En effet, contrairement à ce que le recourant allègue, il n'est aucunement démontré que son adresse réelle était connue du SAN. On ignore du reste à quelle adresse l'intéressé se réfère, puisqu'il mentionne lui-même deux autres adresses (chemin Y.________ à Plan-les-Ouates et rue Z.________ à Genève). On ne saurait exiger de l'autorité qu'elle recherche toutes les adresses possibles d'un administré qui entretient une certaine confusion à cet égard. En envoyant la décision à l'adresse donnée par le recourant - qui avait bien reçu un précédent courrier à cette même adresse quelques jours plus tôt - d'abord par recommandé, puis par courrier A, avant de procéder à la notification par voie édictale, le SAN n'a pas appliqué de manière manifestement insoutenable la disposition cantonale précitée.</w:t>
      </w:r>
    </w:p>
    <w:p>
      <w:r>
        <w:rPr>
          <w:b/>
        </w:rPr>
        <w:t>E. 3</w:t>
      </w:r>
    </w:p>
    <w:p>
      <w:r>
        <w:t>Dans un moyen présenté "à titre subsidiaire", le recourant se plaint d'arbitraire. Les arguments présentés sommairement à l'appui de ce grief se confondent avec la question examinée au considérant précédent. Au demeurant, les exigences minimales de motivation découlant des art. 42 al. 2 et 106 al. 2 LTF ne sont pas respectées, de sorte qu'il n'y a pas lieu d'entrer en matière (cf. ATF 133 II 249 consid. 1.4.2 p. 254 et les références).</w:t>
      </w:r>
    </w:p>
    <w:p>
      <w:r>
        <w:rPr>
          <w:b/>
        </w:rPr>
        <w:t>E. 4</w:t>
      </w:r>
    </w:p>
    <w:p>
      <w:r>
        <w:t>Enfin, le recourant se plaint d'une violation du principe de la proportionnalité, au motif que la durée du retrait de permis (six mois) "aurait des conséquences pénibles" pour l'exercice de sa profession de photographe. En plus d'être insuffisamment motivé, ce grief se heurte à l' art. 16c LCR , selon lequel la conduite d'un véhicule sous le coup d'un retrait de permis est une infraction grave (al. 1 let. f), passible d'un retrait de six mois au minimum si, au cours des cinq années précédentes, le permis a été retiré une fois en raison d'une infraction moyennement grave (al. 2 let. b). Le recourant ne conteste pas la qualification d'infraction moyennement grave pour les trois excès de vitesse ayant fait l'objet du premier retrait et il ne critique pas l'application de l' art. 16c LCR par l'autorité intimée. Au demeurant, par son comportement il a délibérément pris le risque de conduire sous le coup d'un retrait de permis, alors qu'il avait été informé du fait que le SAN envisageait une telle mesure.</w:t>
      </w:r>
    </w:p>
    <w:p>
      <w:r>
        <w:rPr>
          <w:b/>
        </w:rPr>
        <w:t>E. 5</w:t>
      </w:r>
    </w:p>
    <w:p>
      <w:r>
        <w:t>Il s'ensuit que le recours doit être rejeté, dans la mesure de sa recevabilité.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