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319/2019 vom 1. November 2019</w:t>
      </w:r>
    </w:p>
    <w:p>
      <w:r>
        <w:t>Bundesgericht, 2019-11-01, DE</w:t>
      </w:r>
    </w:p>
    <w:p>
      <w:r>
        <w:rPr>
          <w:b/>
        </w:rPr>
        <w:t xml:space="preserve">Quelle: </w:t>
      </w:r>
      <w:r>
        <w:t>https://mcp.opencaselaw.ch/entscheid/bger_1C_319_2019</w:t>
      </w:r>
    </w:p>
    <w:p>
      <w:r>
        <w:t>FR: TF 1C 319/2019 du 1 novembre 2019</w:t>
      </w:r>
    </w:p>
    <w:p>
      <w:r>
        <w:t>IT: TF 1C 319/2019 del 1 novembre 2019</w:t>
      </w:r>
    </w:p>
    <w:p>
      <w:pPr>
        <w:pStyle w:val="Heading2"/>
      </w:pPr>
      <w:r>
        <w:t>Regeste</w:t>
      </w:r>
    </w:p>
    <w:p>
      <w:r>
        <w:t>Publikation des Nichtzustandekommens eines Referendums | Politische Rechte</w:t>
      </w:r>
    </w:p>
    <w:p>
      <w:pPr>
        <w:pStyle w:val="Heading2"/>
      </w:pPr>
      <w:r>
        <w:t>Erwägungen</w:t>
      </w:r>
    </w:p>
    <w:p>
      <w:r>
        <w:rPr>
          <w:b/>
        </w:rPr>
        <w:t>E. 1.1</w:t>
      </w:r>
    </w:p>
    <w:p>
      <w:r>
        <w:t>Die Beschwerdeführer machen zum einen geltend, das Urteil des Verwaltungsgerichts vom 23. April 2019 verletze ihre politischen Rechte. Insofern ist die Beschwerde in öffentlich-rechtlichen Angelegenheiten in der Form der Stimmrechtsbeschwerde gemäss Art. 82 lit. c BGG das zutreffende Rechtsmittel. Das angefochtene Urteil ist kantonal letztinstanzlich und entspricht den Anforderungen von Art. 88 BGG . Die Beschwerdeführer sind unbestrittenermassen in Aarau stimmberechtigt und damit gemäss Art. 89 Abs. 3 BGG zur Beschwerde legitimiert.</w:t>
      </w:r>
    </w:p>
    <w:p>
      <w:r>
        <w:rPr>
          <w:b/>
        </w:rPr>
        <w:t>E. 1.2</w:t>
      </w:r>
    </w:p>
    <w:p>
      <w:r>
        <w:t>Zum andern rügen sie eine Rechtsverweigerung, weil das Verwaltungsgericht den Entscheid des DVI, auf ihre Gemeindebeschwerde nach §§ 106 ff. des Gesetzes des Kantons Aargau vom 19. Dezember 1978 über die Einwohnergemeinden (Gemeindegesetz, GG; SAR 171.100) nicht einzutreten, geschützt habe. Inhaltlich machen sie geltend, bei der Auflage der Bau- und Nutzungsordnung hätten wichtige Akten gefehlt; dies habe mit dem Stimmrecht nichts zu tun. Ob in dieser Hinsicht trotzdem die Stimmrechtsbeschwerde oder stattdessen die Beschwerde gegen Entscheide in Angelegenheiten des öffentlichen Rechts gemäss Art. 82 lit. a BGG zur Verfügung steht, kann offen bleiben, weil die Sachurteilsvoraussetzungen jedenfalls erfüllt sind.</w:t>
      </w:r>
    </w:p>
    <w:p>
      <w:r>
        <w:rPr>
          <w:b/>
        </w:rPr>
        <w:t>E. 1.3</w:t>
      </w:r>
    </w:p>
    <w:p>
      <w:r>
        <w:t>Der Antrag, es sei eine Amtspflichtverletzung durch die Stadt Aarau und das DVI festzustellen, wird zum ersten Mal im bundesgerichtlichen Verfahren gestellt. Er ist neu und deshalb unzulässig ( Art. 99 Abs. 2 BGG ).</w:t>
      </w:r>
    </w:p>
    <w:p>
      <w:r>
        <w:rPr>
          <w:b/>
        </w:rPr>
        <w:t>E. 2.1</w:t>
      </w:r>
    </w:p>
    <w:p>
      <w:r>
        <w:t>Die Beschwerdeführer sind der Auffassung, das Verwaltungsgericht sei befangen, weil es sie als Gegner des neuen Stadionprojekts bezeichnet habe. Sie räumen ein, dass dies beim Beschwerdeführer 2 zutreffe, halten jedoch entgegen, dass deswegen "in anderen Fragen nicht willkürlich gegen ihn argumentiert werden" dürfe. In Bezug auf den Beschwerdeführer 1 bestreiten sie, dass von einem Stadiongegner gesprochen werden könne. Er habe einzig und allein Stimmrechtsbeschwerden eingereicht, die den demokratischen Umgang mit dem Stadionprojekt betroffen hätten. Weiter weisen sie auf ein Urteil des Verwaltungsgerichts vom 1. Mai 2019, in welchem dem Beschwerdeführer 1 Kosten auferlegt worden seien, obwohl Stimmrechtsbeschwerden im Kanton Aargau kostenlos seien.</w:t>
      </w:r>
    </w:p>
    <w:p>
      <w:r>
        <w:rPr>
          <w:b/>
        </w:rPr>
        <w:t>E. 2.2</w:t>
      </w:r>
    </w:p>
    <w:p>
      <w:r>
        <w:t>Nach Art. 30 Abs. 1 BV hat jede Person Anspruch darauf, dass ihre Sache von einem unparteiischen, unvoreingenommenen und unbefangenen Richter ohne Einwirken sachfremder Umstände entschieden wird. Die Garantie wird verletzt, wenn bei objektiver Betrachtung Gegebenheiten vorliegen, die den Anschein der Befangenheit oder die Gefahr der Voreingenommenheit begründen ( BGE 140 I 240 E. 2.2 S. 242 mit Hinweisen).</w:t>
      </w:r>
    </w:p>
    <w:p>
      <w:r>
        <w:rPr>
          <w:b/>
        </w:rPr>
        <w:t>E. 2.3</w:t>
      </w:r>
    </w:p>
    <w:p>
      <w:r>
        <w:t>Soweit die Beschwerdeführer die Befangenheit mit einem Urteil des Verwaltungsgerichts vom 1. Mai 2019 begründen, handelt es sich dabei um ein unzulässiges Novum ( Art. 99 Abs. 1 BGG ). Darauf ist nicht einzutreten.</w:t>
      </w:r>
    </w:p>
    <w:p>
      <w:r>
        <w:rPr>
          <w:b/>
        </w:rPr>
        <w:t>E. 2.4</w:t>
      </w:r>
    </w:p>
    <w:p>
      <w:r>
        <w:t>In der beanstandeten Erwägung 1.2.3 des vorliegend angefochtenen Urteils vom 23. April 2019 legte das Verwaltungsgericht dar, weshalb es davon ausging, dass der Beschwerdeführer 2 von den Bemühungen des Beschwerdeführers 1, ein Referendum zu erheben, Kenntnis hatte. Dies tat es, indem es aufzeigte, dass beide im Zusammenhang mit dem Stadionprojekt schon mehrfach von Rechtsmitteln Gebrauch gemacht hatten. Das Letzteres zutrifft, bestreiten die Beschwerdeführer nicht. Selbst wenn übertrieben bzw. unzutreffend wäre, beim Beschwerdeführer 1 davon zu sprechen, dass er seit Jahren mit allen rechtlich möglichen Mitteln gegen die Realisierung des neuen Stadionprojekts kämpfe, kann darin keine Befangenheit der am Entscheid mitwirkenden Verwaltungsrichter erblickt werden. Die Aussage ist objektiv gesehen weder ehrenrührig noch unsachlich, auch wenn sie die Beschwerdeführer als Vorwurf auffassen. Art. 30 Abs. 1 BV erweist sich deshalb als nicht verletzt.</w:t>
      </w:r>
    </w:p>
    <w:p>
      <w:r>
        <w:rPr>
          <w:b/>
        </w:rPr>
        <w:t>E. 3</w:t>
      </w:r>
    </w:p>
    <w:p>
      <w:r>
        <w:t>Die Beschwerdeführer sind der Auffassung, das DVI habe § 106 GG verletzt, indem es ihre Beschwerde ausschliesslich als Stimmrechtsbeschwerde entgegengenommen habe. Darin sei eine Rechtsverweigerung und eine Verletzung des rechtlichen Gehörs zu erblicken. Das Verwaltungsgericht hielt dazu zutreffend fest, die Gemeindebeschwerde sei subsidiär. Dies geht aus § 106 Abs. 2 GG hervor, wonach die Gemeindebeschwerde nur bei Rechtsverletzungen im Verfahren zulässig ist, sofern kein anderer Rechtsbehelf gegeben ist. Wenn das DVI die Beschwerde als Stimmrechtsbeschwerde entgegennahm und das Verwaltungsgericht dieses Vorgehen schützte, ist darin deshalb weder eine Rechtsverweigerung noch eine Verletzung des rechtlichen Gehörs zu erblicken.</w:t>
      </w:r>
    </w:p>
    <w:p>
      <w:r>
        <w:rPr>
          <w:b/>
        </w:rPr>
        <w:t>E. 4</w:t>
      </w:r>
    </w:p>
    <w:p>
      <w:r>
        <w:t>Das Verwaltungsgericht legte darüber hinaus im Wesentlichen dar, die Stimmrechtsbeschwerde ans DVI sei verspätet erfolgt, soweit sie sich auf Umstände beziehe, die sich vor dem 5. Oktober 2018 ereignet hätten. Die Beschwerdeführer bestreiten dies und wiederholen dabei die Kritik, die der Beschwerdeführer 1 bereits im bundesgerichtlichen Verfahren 1C_301/2019 vorbrachte. Auf die Erwägungen des Urteils in jenem Verfahren, das am gleichen Datum wie das vorliegende Urteil ergeht, kann vollumfänglich verwiesen werden. Daraus ergibt sich, dass die kurze Beschwerdefrist von drei Tagen aufgrund des öffentlichen Interesses an einer raschen Klärung der Rechtslage nicht verfassungswidrig ist und dass der von den Beschwerdeführern behauptete Mangel bereits mit der Publikation des Beschlusses des Einwohnerrats vom 27. August 2018 im Amtsblatt vom 31. August 2018 erkennbar gewesen war (a.a.O., E. 4). Dass der im Amtsblatt vom 5. Oktober 2018 publizierte Beschluss des Stadtrats, der den Beschwerdeführern als äusserer Anlass für ihre Stimmrechtsbeschwerde diente, rechtsverletzend wäre, zeigen sie nicht auf.</w:t>
      </w:r>
    </w:p>
    <w:p>
      <w:r>
        <w:rPr>
          <w:b/>
        </w:rPr>
        <w:t>E. 5</w:t>
      </w:r>
    </w:p>
    <w:p>
      <w:r>
        <w:t>Die Beschwerde wird abgewiesen, soweit darauf einzutreten ist. Das mit Eingabe vom 28. September 2019 gestellte Gesuch um vorsorgliche Massnahmen wird damit gegenstandslos. Die Beschwerdeführer stellen ein Gesuch um unentgeltliche Prozessführung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