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319/2014 vom 31. Juli 2014</w:t>
      </w:r>
    </w:p>
    <w:p>
      <w:r>
        <w:t>Bundesgericht, 2014-07-31, DE</w:t>
      </w:r>
    </w:p>
    <w:p>
      <w:r>
        <w:rPr>
          <w:b/>
        </w:rPr>
        <w:t xml:space="preserve">Quelle: </w:t>
      </w:r>
      <w:r>
        <w:t>https://mcp.opencaselaw.ch/entscheid/bger_1C_319_2014</w:t>
      </w:r>
    </w:p>
    <w:p>
      <w:r>
        <w:t>FR: TF 1C 319/2014 du 31 juillet 2014</w:t>
      </w:r>
    </w:p>
    <w:p>
      <w:r>
        <w:t>IT: TF 1C 319/2014 del 31 luglio 2014</w:t>
      </w:r>
    </w:p>
    <w:p>
      <w:pPr>
        <w:pStyle w:val="Heading2"/>
      </w:pPr>
      <w:r>
        <w:t>Regeste</w:t>
      </w:r>
    </w:p>
    <w:p>
      <w:r>
        <w:t>Auslieferung an Albanien | Rechtshilfe und Auslieferung</w:t>
      </w:r>
    </w:p>
    <w:p>
      <w:pPr>
        <w:pStyle w:val="Heading2"/>
      </w:pPr>
      <w:r>
        <w:t>Erwägungen</w:t>
      </w:r>
    </w:p>
    <w:p>
      <w:r>
        <w:rPr>
          <w:b/>
        </w:rPr>
        <w:t>E. 1.1</w:t>
      </w:r>
    </w:p>
    <w:p>
      <w:r>
        <w:t>Angefochten ist ein Endentscheid des Bundesstrafgerichts betreffend eine Auslieferung im Rahmen der internationalen Rechtshilfe in Strafsachen. Dagegen steht grundsätzlich die Beschwerde in öffentlich-rechtlichen Angelegenheiten offen ( Art. 82 lit. a, Art. 86 Abs. 1 lit. b und Art. 90 BGG ). Das BJ ist zur Beschwerde legitimiert ( Art. 89 Abs. 2 lit. d BGG i.V.m. Art. 25 Abs. 3 IRSG [SR 351.1]).</w:t>
      </w:r>
    </w:p>
    <w:p>
      <w:r>
        <w:rPr>
          <w:b/>
        </w:rPr>
        <w:t>E. 1.2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1.3</w:t>
      </w:r>
    </w:p>
    <w:p>
      <w:r>
        <w:t>Zwar geht es um eine Auslieferung und damit ein Sachgebiet, bei dem die Beschwerde nach Art. 84 BGG insoweit möglich ist. Es handelt sich jedoch um keinen besonders bedeutenden Fall. Der Beschwerdeführer beanstandet die Einschätzung des Bundesstrafgerichts betreffend die Gefährdung des Beschwerdegegners durch Dritte nicht und geht selbst davon aus, es bestehe eine spezielle Gefährdungslage. Er ist lediglich der Auffassung, Albanien habe bereits eine Garantie abgegeben, die sich auf Art. 3 EMRK stütze und deshalb den Schutz des Inhaftierten vor allfälligen Racheakten Dritter mitumfasse. Die betreffende Garantie bezieht sich indessen nur in allgemeiner Weise auf die Haftbedingungen und die medizinische Versorgung, nicht aber auf weitere Gewährleistungspflichten nach Art. 3 EMRK . Die Kritik des Beschwerdeführers ist insofern nicht stichhaltig. Auch in Bezug auf die von Albanien verlangte Erklärung für den Fall einer bereits ausgesprochenen oder bevorstehenden Verurteilung erscheint der Fall nicht als besonders bedeutend. Der Beschwerdeführer bringt zwar vor, von einem Abwesenheitsurteil nichts zu wissen, hat aber offenbar auch keine Erkundigungen eingeholt. Die Darlegungen der Vorinstanz, wonach entsprechende Anzeichen bestehen, überzeugen. Darauf kann verwiesen werden (angefochtener Entscheid, E. 9). Zutreffend ist, wie der Beschwerdeführer vorbringt, dass die Schweiz vorliegend nicht um die Auslieferung zur Vollstreckung eines Abwesenheitsurteils im Sinne von Art. 3 des zweiten Zusatzprotokolls vom 17. März 1979 zum Europäischen Auslieferungsübereinkommen (SR 0.353.12) ersucht wurde. Dies ist aber nicht entscheidend. Die Vorinstanz stützt sich in ihren Erwägungen auf die Verfahrensgarantien von Art. 6 EMRK und Art. 14 UNO-Pakt II (SR 0.103.2; vgl. in diesem Zusammenhang das Urteil des Europäischen Gerichtshofs für Menschenrechte Kounov gegen Bulgarien vom 23. Mai 2006, Beschwerde-Nr. 24379/02, §§ 41 f.). Nach der Rechtsprechung des Bundesgerichts können diese Verfahrensgarantien auch im Rahmen des Europäischen Auslieferungsübereinkommens vom 13. Dezember 1957 (SR 0.353.1) das Einholen von diplomatischen Zusicherungen gebieten (vgl. etwa BGE 134 IV 156 E. 6 und nicht publizierte E. 1.1). Es fehlt mithin nicht an einer Rechtsgrundlage, wie der Beschwerdeführer implizit annimmt. Auch sonst ist der Fall nicht von aussergewöhnlicher Tragweite. Für das Bundesgericht besteht daher kein Anlass, die Sache an die Hand zu nehmen.</w:t>
      </w:r>
    </w:p>
    <w:p>
      <w:r>
        <w:rPr>
          <w:b/>
        </w:rPr>
        <w:t>E. 2</w:t>
      </w:r>
    </w:p>
    <w:p>
      <w:r>
        <w:t>Auf die Beschwerde ist nicht einzutreten. Bei diesem Ausgang des Verfahrens sind keine Gerichtskosten zu erheben ( Art. 66 Abs. 1 und 4 BGG ). Die schweizerische Eidgenossenschaft (das BJ) hat dem Beschwerdegegner eine angemessene Parteientschädigung auszurichten ( Art. 68 Abs. 1 und 2 BGG ).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