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1C_318/2018 vom 28. März 2019</w:t>
      </w:r>
    </w:p>
    <w:p>
      <w:r>
        <w:t>Bundesgericht, 2019-03-28, DE</w:t>
      </w:r>
    </w:p>
    <w:p>
      <w:r>
        <w:rPr>
          <w:b/>
        </w:rPr>
        <w:t xml:space="preserve">Quelle: </w:t>
      </w:r>
      <w:r>
        <w:t>https://mcp.opencaselaw.ch/entscheid/bger_1C_318_2018</w:t>
      </w:r>
    </w:p>
    <w:p>
      <w:r>
        <w:t>FR: TF 1C_318/2018 du 28 mars 2019</w:t>
      </w:r>
    </w:p>
    <w:p>
      <w:r>
        <w:t>IT: TF 1C_318/2018 del 28 marzo 2019</w:t>
      </w:r>
    </w:p>
    <w:p>
      <w:pPr>
        <w:pStyle w:val="Heading2"/>
      </w:pPr>
      <w:r>
        <w:t>Erwägungen</w:t>
      </w:r>
    </w:p>
    <w:p>
      <w:r>
        <w:rPr>
          <w:b/>
        </w:rPr>
        <w:t>E. 1</w:t>
      </w:r>
    </w:p>
    <w:p>
      <w:r>
        <w:t>Der angefochtene Entscheid betrifft in der Hauptsache den vorsorglichen Entzug des Führerausweises und damit eine öffentlich-rechtliche Angelegenheit. Der Beschwerdeführer ficht ihn insoweit an, als ihm die unentgeltliche Rechtspflege verweigert wurde. Dafür ist die Beschwerde in öffentlich-rechtlichen Angelegenheiten das zutreffende Rechtsmittel. Es handelt sich bei der Verweigerung der unentgeltlichen Rechtspflege um einen Zwischenentscheid, der einen nicht wieder gutzumachenden Nachteil bewirken kann ( Art. 93 Abs. 1 lit. a BGG ; BGE 129 I 129 E. 1.1 S. 131 mit Hinweis). Die weiteren Sachurteilsvoraussetzungen geben zu keinen Bemerkungen Anlass. Auf die Beschwerde ist einzutreten.</w:t>
      </w:r>
    </w:p>
    <w:p>
      <w:r>
        <w:rPr>
          <w:b/>
        </w:rPr>
        <w:t>E. 2.1</w:t>
      </w:r>
    </w:p>
    <w:p>
      <w:r>
        <w:t>Der Beschwerdeführer rügt eine Verletzung von Art. 29 Abs. 3 BV . Danach hat jede Person, die nicht über die erforderlichen Mittel verfügt, Anspruch auf unentgeltliche Rechtspflege, wenn ihr Rechtsbegehren nicht aussichtslos erscheint (Satz 1). Soweit es zur Wahrung ihrer Rechte notwendig ist, hat sie ausserdem Anspruch auf unentgeltlichen Rechtsbeistand (Satz 2).</w:t>
      </w:r>
    </w:p>
    <w:p>
      <w:r>
        <w:rPr>
          <w:b/>
        </w:rPr>
        <w:t>E. 2.2</w:t>
      </w:r>
    </w:p>
    <w:p>
      <w:r>
        <w:t>Das Kantonsgericht hielt die Verwaltungsgerichtsbeschwerde für offensichtlich aussichtslos. Nach der bundesgerichtlichen Rechtsprechung könne ein rechtswidrig erlangtes Beweismittel Anlass geben für die Einleitung eines Verfahrens auf Sicherungsentzug nach Art. 16d Abs. 1 SVG . Bei der in diesem Rahmen erforderlichen Interessenabwägung falle die Gewährleistung der Verkehrssicherheit stark ins Gewicht. Angesichts der hohen THC-COOH-Konzentration von 240 μg/l sei von einem regelmässigen und hohen Cannabis-Konsum auszugehen. Sogar eine der vom Beschwerdeführer selbst eingereichten Urinproben (jene vom 21. Januar 2016) sei positiv gewesen. Angesichts des Umstands, dass es lediglich um einen vorsorglichen Führerausweisentzug und eine Fahreignungsabklärung gehe, würden die entgegenstehenden privaten Interessen des Beschwerdeführers weniger schwer wiegen. Es gebe damit keinen Grund, auf die rechtskräftige Verfügung vom 14. Dezember 2015 zurückzukommen. Bei der angeordneten verkehrsmedizinischen Untersuchung werde auch abzuklären sein, ob die Persönlichkeitsstörung, auf die in einem vom Beschwerdeführer selbst eingereichten ärztlichen Attest hingewiesen werde, Auswirkungen auf die Fahreignung habe. Jedenfalls könne daraus nicht auf die Unzumutbarkeit einer verkehrsmedizinischen Untersuchung geschlossen werden.</w:t>
      </w:r>
    </w:p>
    <w:p>
      <w:r>
        <w:rPr>
          <w:b/>
        </w:rPr>
        <w:t>E. 2.3</w:t>
      </w:r>
    </w:p>
    <w:p>
      <w:r>
        <w:t>Der Beschwerdeführer ist dagegen der Ansicht, es sei nicht von vornherein klar gewesen, dass das Beweismittelverwertungsverbot im Administrativverfahren nicht gelte. Die Rechtsprechung sei nicht eindeutig. Im Urteil 1C_357/2014 vom 18. November 2014 sei trotz fehlender Anzeichen von Fahrunfähigkeit ein Drogentest angeordnet worden. Die kantonale Rechtsmittelinstanz habe deshalb den vom Strassenverkehrsamt verfügten Führerausweisentzug aufgehoben, was auch vom Bundesgericht anerkannt worden sei. Auch bei ihm hätten keine Anzeichen von Fahrunfähigkeit bestanden. Zutreffend sei weiter zwar, dass für die drei späteren Urinproben das Beweismittelverwertungsverbot nicht gelte, doch sei davon nur eine positiv ausgefallen. Gemäss der bundesgerichtlichen Rechtsprechung reiche ein (aktiver oder passiver) regelmässiger Konsum von Cannabis nicht aus, um jemandem die Fahreignung abzusprechen, solange die betroffene Person in der Lage sei, zuverlässig zwischen Drogenkonsum und Strassenverkehr zu unterscheiden. Was die angebliche Persönlichkeitsstörung anbelange, sei die betreffende Feststellung durch einen Facharzt für innere Medizin erfolgt, der dafür nicht die erforderlichen Kenntnisse besitze.</w:t>
      </w:r>
    </w:p>
    <w:p>
      <w:r>
        <w:rPr>
          <w:b/>
        </w:rPr>
        <w:t>E. 2.4</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bestehen, beurteilt sich nach den Verhältnissen zur Zeit, in der das Gesuch um unentgeltliche Rechtspflege gestellt wird, namentlich aufgrund der bis dann vorliegenden Akten ( BGE 140 V 521 E. 9.1 S. 537 mit Hinweisen).</w:t>
      </w:r>
    </w:p>
    <w:p>
      <w:r>
        <w:rPr>
          <w:b/>
        </w:rPr>
        <w:t>E. 2.5</w:t>
      </w:r>
    </w:p>
    <w:p>
      <w:r>
        <w:t>In BGE 139 II 95 hat das Bundesgericht für die Frage der Verwertung unrechtmässig erhobener Beweise eine Unterscheidung zwischen jenen Verwaltungsverfahren getroffen, die auf eine konkrete Untersuchung der Fahreignung gerichtet sind, und solchen, bei denen dies nicht der Fall ist. Es stellte in diesem Sinne den damals zur Diskussion stehenden Führerausweisentzug auf unbestimmte Zeit nach einer schweren Widerhandlung ( Art. 16c Abs. 2 lit. d SVG ) dem Führerausweisentzug wegen fehlender Fahreignung ( Art. 16d SVG ) gegenüber. Geht es darum, ob eine neue Widerhandlung begangen worden ist, muss danach zur Sicherstellung der Koordination das im Strafverfahren geltende Beweisverwertungsverbot auch im Verwaltungsverfahren zur Anwendung gelangen, was im konkreten Fall ausschloss, das Ergebnis einer rechtswidrig angeordneten Drogenkontrolle zu berücksichtigen (a.a.O., E. 3.4.3 S. 104 f.). Beim Führerausweisentzug wegen fehlender Fahreignung verhält es sich anders. Das Bundesgericht wies ausdrücklich darauf hin, dass das Beweismittel zur Prüfung der Frage, ob sich die Einleitung eines Verfahrens zur Abklärung der Fahreignung rechtfertige, berücksichtigt werden kann. Das öffentliche Interesse am Schutz der Verkehrsteilnehmer überwiegt in dieser Hinsicht (a.a.O., E. 3.5).</w:t>
      </w:r>
    </w:p>
    <w:p>
      <w:r>
        <w:t>Entgegen der Behauptung des Beschwerdeführers ist die Rechtsprechung nicht unklar. Im von ihm erwähnten Urteil 1C_357/2014 vom 18. November 2014 ist das Bundesgericht auf die Beschwerde nicht eingetreten, es hat sich somit zur Sache gar nicht geäussert.</w:t>
      </w:r>
    </w:p>
    <w:p>
      <w:r>
        <w:rPr>
          <w:b/>
        </w:rPr>
        <w:t>E. 2.6</w:t>
      </w:r>
    </w:p>
    <w:p>
      <w:r>
        <w:t>Gemäss Art. 15d Abs. 1 lit. d SVG wird eine Person einer Fahreignungsuntersuchung unterzogen, wenn Zweifel an ihrer Fahreignung bestehen, namentlich bei Fahren unter dem Einfluss von Betäubungsmitteln. Gemäss Art. 30 der Verordnung vom 27. Oktober 1976 über die Zulassung von Personen und Fahrzeugen zum Strassenverkehr (VZV; SR 741.51) kann zudem der Führerausweis vorsorglich entzogen werden, wenn ernsthafte Bedenken an der Fahreignung bestehen (vgl. zum Ganzen auch Urteil 1C_13/2017 vom 19. Mai 2017 E. 3.2 mit Hinweisen).</w:t>
      </w:r>
    </w:p>
    <w:p>
      <w:r>
        <w:t>Dem Beschwerdeführer wurde eineinhalb Stunden nach dem Unfall Blut entnommen. Dessen Analyse ergab eine THC-COOH-Konzentration von 240 μ g/l sowie eine THC-Konzentration von 6,0 μ g/l. Der Nachweisgrenzwert für THC, bei dessen Erreichen gleichzeitig auf Fahrunfähigkeit zu schliessen ist, liegt bei 1,5 μg/l (Art. 2 Abs. 2 lit. a der Verkehrsregelnverordnung vom 13. November 1962 [VRV; SR 741.11] i.V.m. Art. 34 der Verordnung vom 22. Mai 2008 des ASTRA zur Strassenverkehrskontrollverordnung [VSKV-ASTRA; SR 741.013.1] ).</w:t>
      </w:r>
    </w:p>
    <w:p>
      <w:r>
        <w:t>Angesichts der hohen Blutwerte bestanden ernsthafte Bedenken an der Fahreignung des Beschwerdeführers, weshalb es unter dem Gesichtspunkt der Verkehrssicherheit angezeigt war, ihm den Lernfahr- und den Führerausweis vorsorglich zu entziehen und eine Fahreignungsuntersuchung anzuordnen (vgl. in diesem Zusammenhang Urteil 1C_618/2015 vom 7. März 2016 E. 3.3 mit Hinweisen). Daran ändert nichts, dass spätere Urinproben negativ ausgefallen sind und der Beschwerdeführer behauptet, einzig passiv geraucht zu haben. Selbst wenn dies zuträfe, bestanden dennoch ernsthafte Bedenken an seiner Fahreignung. Die in diesem Zusammenhang erhobene Kritik, die vorinstanzliche Sachverhaltsfeststellung sei offensichtlich falsch, erscheint als unbegründet ( Art. 97 Abs. 1 BGG ). Nicht zu beanstanden ist schliesslich auch, dass das Kantonsgericht das vom Beschwerdeführer selbst eingereichte ärztliche Attest vom 15. April 2018 mitberücksichtigte. Der Arzt hält fest, dass 2013 beim Beschwerdeführer eine Persönlichkeitsstörung gefunden worden sei, die sich mittlerweile weiter vertieft und verfestigt habe. Eine kritische Auseinandersetzung mit seinem Denken und Handeln sowie ein sachliches Verhalten vor Gericht seien von Vornherein auszuschliessen.</w:t>
      </w:r>
    </w:p>
    <w:p>
      <w:r>
        <w:rPr>
          <w:b/>
        </w:rPr>
        <w:t>E. 2.7</w:t>
      </w:r>
    </w:p>
    <w:p>
      <w:r>
        <w:t>Das Kantonsgericht verletzte Art. 29 Abs. 3 BV nicht, wenn es unter diesen Voraussetzungen davon ausging, die Verwaltungsgerichtsbeschwerde sei offensichtlich unbegründet gewesen. Sowohl hinsichtlich der Verwertbarkeit des Beweismittels der Blutanalyse als auch des vorsorglichen Ausweisentzugs und der Fahreignungsabklärung erscheint die Sache als klar.</w:t>
      </w:r>
    </w:p>
    <w:p>
      <w:r>
        <w:rPr>
          <w:b/>
        </w:rPr>
        <w:t>E. 3</w:t>
      </w:r>
    </w:p>
    <w:p>
      <w:r>
        <w:t>Die Beschwerde erweist sich aus diesen Erwägungen als unbegründet.</w:t>
      </w:r>
    </w:p>
    <w:p>
      <w:r>
        <w:t>Der Beschwerdeführer stellt ein Gesuch um unentgeltliche Prozessführung und Rechtsverbeiständung für das bundesgerichtliche Verfahren. Da auch die beim Bundesgericht erhobene Beschwerde aussichtslos erschien, sind die gesetzlichen Voraussetzungen dafür nicht erfüllt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