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1C_318/2016 vom 10. August 2016</w:t>
      </w:r>
    </w:p>
    <w:p>
      <w:r>
        <w:t>Bundesgericht, 2016-08-10, DE</w:t>
      </w:r>
    </w:p>
    <w:p>
      <w:r>
        <w:rPr>
          <w:b/>
        </w:rPr>
        <w:t xml:space="preserve">Quelle: </w:t>
      </w:r>
      <w:r>
        <w:t>https://mcp.opencaselaw.ch/entscheid/bger_1C_318_2016</w:t>
      </w:r>
    </w:p>
    <w:p>
      <w:r>
        <w:t>FR: TF 1C_318/2016 du 10 août 2016</w:t>
      </w:r>
    </w:p>
    <w:p>
      <w:r>
        <w:t>IT: TF 1C_318/2016 del 10 agosto 2016</w:t>
      </w:r>
    </w:p>
    <w:p>
      <w:pPr>
        <w:pStyle w:val="Heading2"/>
      </w:pPr>
      <w:r>
        <w:t>Erwägungen</w:t>
      </w:r>
    </w:p>
    <w:p>
      <w:r>
        <w:rPr>
          <w:b/>
        </w:rPr>
        <w:t>E. 1</w:t>
      </w:r>
    </w:p>
    <w:p>
      <w:r>
        <w:t>Das Strassenverkehrsamt des Kantons Thurgau aberkannte A.________ mit Verfügung vom 1. Dezember 2015 den deutschen Führerausweis mit der Begründung, dass A.________ am 15. Dezember 2009 in Deutschland die Führerprüfung absolviert habe, obwohl er seit Februar 2006 in der Schweiz wohnhaft gewesen sei. Dadurch habe er die geltenden Zuständigkeitsbestimmungen umgangen. Gegen die Verfügung des Strassenverkehrsamts erhob A.________ am 14. Dezember 2015 Rekurs. Die Rekurskommission für Strassenverkehrssachen des Kantons Thurgau wies den Rekurs mit Entscheid vom 25. Februar 2016 ab. Dagegen erhob A.________ Beschwerde, welche das Verwaltungsgericht des Kantons Thurgau mit Entscheid vom 18. Mai 2016 abwies, soweit es darauf eintrat.</w:t>
      </w:r>
    </w:p>
    <w:p>
      <w:r>
        <w:rPr>
          <w:b/>
        </w:rPr>
        <w:t>E. 2</w:t>
      </w:r>
    </w:p>
    <w:p>
      <w:r>
        <w:t>A.________ führt mit Eingaben vom 4. Juli 2016 (Postaufgabe 7. Juli 2016) und 4. August 2016 (Postaufgabe 6. August 2016) Beschwerde in öffentlich-rechtlichen Angelegenheiten gegen den Entscheid des Verwaltungsgerichts des Kantons Thurgau.</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unterlässt es, sich mit der Begründung des Verwaltungsgerichts auseinanderzusetzen. Mit seinen nicht sachbezogenen Ausführungen zeigt er nicht ansatzweise auf, inwiefern diese Begründung bzw. der Entscheid des Verwaltungsgerichts selbst im Ergebnis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