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1C_317/2020 vom 9. Juni 2020</w:t>
      </w:r>
    </w:p>
    <w:p>
      <w:r>
        <w:t>Bundesgericht, 2020-06-09, DE</w:t>
      </w:r>
    </w:p>
    <w:p>
      <w:r>
        <w:rPr>
          <w:b/>
        </w:rPr>
        <w:t xml:space="preserve">Quelle: </w:t>
      </w:r>
      <w:r>
        <w:t>https://mcp.opencaselaw.ch/entscheid/bger_1C_317_2020</w:t>
      </w:r>
    </w:p>
    <w:p>
      <w:r>
        <w:t>FR: TF 1C_317/2020 du 9 juin 2020</w:t>
      </w:r>
    </w:p>
    <w:p>
      <w:r>
        <w:t>IT: TF 1C_317/2020 del 9 giugno 2020</w:t>
      </w:r>
    </w:p>
    <w:p>
      <w:pPr>
        <w:pStyle w:val="Heading2"/>
      </w:pPr>
      <w:r>
        <w:t>Erwägungen</w:t>
      </w:r>
    </w:p>
    <w:p>
      <w:r>
        <w:rPr>
          <w:b/>
        </w:rPr>
        <w:t>E. 1</w:t>
      </w:r>
    </w:p>
    <w:p>
      <w:r>
        <w:t>Die Motorfahrzeugkontrolle des Kantons Solothurn setzte mit Verfügung vom 20. April 2020 den Beginn der Dauer des Führerausweisentzugs gegenüber A.________ auf den 1. Mai 2020 mit Wirkung bis am 31. Oktober 2020 fest. Dagegen erhob A.________ am 30. April 2020 Beschwerde, auf welche das Verwaltungsgericht des Kantons Solothurn mit Urteil vom 5. Mai 2020 nicht eintrat. Zur Begründung führte das Verwaltungsgericht zusammenfassend aus, dass es ihm versagt sei, diese Vollstreckungsverfügung inhaltlich zu überprüfen.</w:t>
      </w:r>
    </w:p>
    <w:p>
      <w:r>
        <w:rPr>
          <w:b/>
        </w:rPr>
        <w:t>E. 2</w:t>
      </w:r>
    </w:p>
    <w:p>
      <w:r>
        <w:t>A.________ führt mit Eingabe vom 4. Juni 2020 Beschwerde in öffentlich-rechtlichen Angelegenheiten gegen das Urteil des Verwaltungsgerichts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nicht mit den Ausführungen des Verwaltungsgerichts auseinander, die zum Nichteintreten auf seine Beschwerde führten. Er vermag nicht im Einzelnen und konkret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