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316/2014 vom 17. Februar 2015</w:t>
      </w:r>
    </w:p>
    <w:p>
      <w:r>
        <w:t>Bundesgericht, 2015-02-17, DE</w:t>
      </w:r>
    </w:p>
    <w:p>
      <w:r>
        <w:rPr>
          <w:b/>
        </w:rPr>
        <w:t xml:space="preserve">Quelle: </w:t>
      </w:r>
      <w:r>
        <w:t>https://mcp.opencaselaw.ch/entscheid/bger_1C_316_2014</w:t>
      </w:r>
    </w:p>
    <w:p>
      <w:r>
        <w:t>FR: TF 1C 316/2014 du 17 février 2015</w:t>
      </w:r>
    </w:p>
    <w:p>
      <w:r>
        <w:t>IT: TF 1C 316/2014 del 17 febbraio 2015</w:t>
      </w:r>
    </w:p>
    <w:p>
      <w:pPr>
        <w:pStyle w:val="Heading2"/>
      </w:pPr>
      <w:r>
        <w:t>Regeste</w:t>
      </w:r>
    </w:p>
    <w:p>
      <w:r>
        <w:t>Uferschutzplanung Nr. 8 Einigen-Tellergut West | Raumplanung und öffentliches Baurecht</w:t>
      </w:r>
    </w:p>
    <w:p>
      <w:pPr>
        <w:pStyle w:val="Heading2"/>
      </w:pPr>
      <w:r>
        <w:t>Erwägungen</w:t>
      </w:r>
    </w:p>
    <w:p>
      <w:r>
        <w:rPr>
          <w:b/>
        </w:rPr>
        <w:t>E. 1.1</w:t>
      </w:r>
    </w:p>
    <w:p>
      <w:r>
        <w:t>Der angefochtene, kantonal letztinstanzliche Entscheid betrifft eine Uferschutzplanung und damit eine öffentlich-rechtliche Angelegenheit. Dagegen steht grundsätzlich die Beschwerde in öffentlich-rechtlichen Angelegenheiten ans Bundesgericht offen. Zu prüfen ist indessen, ob es sich beim Urteil des Verwaltungsgerichts um einen anfechtbaren Entscheid gemäss Art. 90 ff. BGG handelt.</w:t>
      </w:r>
    </w:p>
    <w:p>
      <w:r>
        <w:rPr>
          <w:b/>
        </w:rPr>
        <w:t>E. 1.2</w:t>
      </w:r>
    </w:p>
    <w:p>
      <w:r>
        <w:t>Die Parzelle Nr. 1091 der Beschwerdeführer umfasst das gesamte Tellergut. Von der Uferschutzplanung Nr. 8 betroffen ist eine an das Ortsende von Einigen anschliessende Uferzone von 250 m Länge, wobei diese aus einem rund 110 m langen Waldstreifen und einem östlich daran anschliessenden unbewaldeten Teil besteht. Die Beschwerdeführer haben mit ihrer Beschwerde an die JGK insoweit obsiegt, als dieses der Linienführung durch den im Wald im nordwestlichen Teil der Parzelle Nr. 1091 die Genehmigung verweigerte. Auch die anschliessende Verwaltungsgerichtsbeschwerde war teilweise erfolgreich. Zwar bestätigte das Verwaltungsgericht die Linienführung des Uferwegs östlich des Waldstreifens, doch wies es die Sache zur Anordnung von zusätzlichen Biotopschutz- und -ersatzmassnahmen an die Gemeinde zurück.</w:t>
      </w:r>
    </w:p>
    <w:p>
      <w:r>
        <w:rPr>
          <w:b/>
        </w:rPr>
        <w:t>E. 1.3</w:t>
      </w:r>
    </w:p>
    <w:p>
      <w:r>
        <w:t>Während im Gebiet nordwestlich des Tellerguts die Uferschutzplanung Nr. 8 Einigen-Tellergut West offenbar bereits rechtskräftig ist, ist sie es im Bereich der Parzelle der Beschwerdeführer somit noch nicht. Zum einen wird die Gemeinde noch Biotopschutz- und -ersatzmassnahmen für den Uferweg östlich des Waldstreifens anzuordnen haben, wobei ihr ein Entscheidungsspielraum verbleibt (vgl. BGE 134 II 124 E. 1.3 S. 127 mit Hinweisen). Zum andern liegt auch noch kein letztinstanzlicher kantonaler Entscheid zur Linienführung des Uferwegs im westlichen Teil der Parzelle der Beschwerdeführer vor. Die Linienführungen der direkt aneinander anschliessenden Uferwegabschnitte des östlichen und westlichen Parzellenteils sind indessen voneinander abhängig und lassen sich nicht sinnvoll getrennt beurteilen (vgl. als Gegenbeispiel die Situation in Urteil 1C_831/2013 vom 1. Mai 2014 E. 1.1; vgl. auch Urteil 1C_396/2009 vom 9. Februar 2010 E. 1.2).</w:t>
      </w:r>
    </w:p>
    <w:p>
      <w:r>
        <w:rPr>
          <w:b/>
        </w:rPr>
        <w:t>E. 1.4</w:t>
      </w:r>
    </w:p>
    <w:p>
      <w:r>
        <w:t>Aus den genannten Gründen liegt weder ein Endentscheid ( Art. 90 BGG ) noch ein Teilentscheid ( Art. 91 lit. a BGG ) vor. Es handelt sich um einen Zwischenentscheid im Sinne von Art. 93 Abs. 1 BGG . Nach dieser Bestimmung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oder Zwischenentscheid im Sinne von Art. 93 BGG nicht selbstständig anfechten, können sie ihn doch mit dem Endentscheid anfechten, soweit er sich auf dessen Inhalt auswirkt ( Art. 93 Abs. 3 BGG ). Es obliegt den Beschwerdeführern, detailliert darzutun, dass die Sachurteilsvoraussetzungen von Art. 93 BGG erfüllt sind, soweit dies nicht offensichtlich der Fall ist ( BGE 138 III 46 E. 1.2 S. 47; 137 III 324 E. 1.1 S. 328 f.; 133 III 629 E. 2.3.1 und 2.4.2 S. 632 f.; je mit Hinweisen). Es ist nicht ersichtlich und wird von den Beschwerdeführern auch nicht dargelegt, dass eine der beiden alternativen Sachurteilsvoraussetzungen gemäss Art. 93 Abs. 1 lit. a und b BGG erfüllt wäre. Es fehlt damit an einem anfechtbaren Entscheid.</w:t>
      </w:r>
    </w:p>
    <w:p>
      <w:r>
        <w:rPr>
          <w:b/>
        </w:rPr>
        <w:t>E. 2</w:t>
      </w:r>
    </w:p>
    <w:p>
      <w:r>
        <w:t>Auf die Beschwerde ist nicht einzutreten. Bei diesem Ausgang des Verfahrens sind die Gerichtskosten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