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315/2019 vom 24. Juni 2020</w:t>
      </w:r>
    </w:p>
    <w:p>
      <w:r>
        <w:t>Bundesgericht, 2020-06-24, FR</w:t>
      </w:r>
    </w:p>
    <w:p>
      <w:r>
        <w:rPr>
          <w:b/>
        </w:rPr>
        <w:t xml:space="preserve">Quelle: </w:t>
      </w:r>
      <w:r>
        <w:t>https://mcp.opencaselaw.ch/entscheid/bger_1C_315_2019</w:t>
      </w:r>
    </w:p>
    <w:p>
      <w:r>
        <w:t>FR: TF 1C 315/2019 du 24 juin 2020</w:t>
      </w:r>
    </w:p>
    <w:p>
      <w:r>
        <w:t>IT: TF 1C 315/2019 del 24 giugno 2020</w:t>
      </w:r>
    </w:p>
    <w:p>
      <w:pPr>
        <w:pStyle w:val="Heading2"/>
      </w:pPr>
      <w:r>
        <w:t>Regeste</w:t>
      </w:r>
    </w:p>
    <w:p>
      <w:r>
        <w:t>refus d'autorisation de construire, ordre de démolition d'un garage et de remise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le recours est recevable comme recours en matière de droit public conformément aux art. 82 ss LTF , aucune des exceptions prévues à l' art. 83 LTF n'étant réalisée. Les recourants ont pris part à la procédure de recours devant l'autorité cantonale ( art. 89 al. 1 let. a LTF ). Ils sont particulièrement touchés par l'arrêt attaqué qui confirme le refus de régularisation du garage et exige sa démolition. Ils ont donc la qualité pour agir au sens de l' art. 89 al. 1 LTF . Les autres conditions de recevabilité du recours en matière de droit public étant remplies, il convient d'entrer en matière.</w:t>
      </w:r>
    </w:p>
    <w:p>
      <w:r>
        <w:rPr>
          <w:b/>
        </w:rPr>
        <w:t>E. 2</w:t>
      </w:r>
    </w:p>
    <w:p>
      <w:r>
        <w:t>Dans un grief formel, qu'il convient d'examiner en premier lieu, les recourants se plaignent d'une violation du droit d'être entendus garanti à l' art. 29 al. 2 Cst. Ils reprochent à la cour cantonale de ne pas avoir procédé à une inspection locale malgré leur requête devant l'instance cantonale.</w:t>
      </w:r>
    </w:p>
    <w:p>
      <w:r>
        <w:rPr>
          <w:b/>
        </w:rPr>
        <w:t>E. 2.1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p. 103 et les arrêts cités).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p. 171 et les arrêts cités).</w:t>
      </w:r>
    </w:p>
    <w:p>
      <w:r>
        <w:rPr>
          <w:b/>
        </w:rPr>
        <w:t>E. 2.2</w:t>
      </w:r>
    </w:p>
    <w:p>
      <w:r>
        <w:t>Pour que le Tribunal fédéral soit en mesure de vérifier si le droit fédéral a été correctement appliqué en relation avec les questions soulevées, il est nécessaire que le jugement de l'instance précédente fasse clairement ressortir les motifs déterminants de fait et de droit ( art. 112 al. 1 let. b LTF ). Il résulte de cette norme que les décisions attaquées doivent indiquer clairement les faits qui sont établis et les déductions juridiques qui sont tirées de l'état de fait déterminant ( ATF 135 II 145 consid. 8.2 et les réf. citées). Si une décision attaquée ne satisfait pas aux exigences fixées à l' art. 112 al. 1 LTF , le Tribunal fédéral peut soit la renvoyer à l'autorité précédente en invitant celle-ci à la parfaire, soit l'annuler ( art. 112 al. 3 LTF ).</w:t>
      </w:r>
    </w:p>
    <w:p>
      <w:r>
        <w:rPr>
          <w:b/>
        </w:rPr>
        <w:t>E. 2.3</w:t>
      </w:r>
    </w:p>
    <w:p>
      <w:r>
        <w:t>En l'occurrence, les recourants ont requis à trois reprises de l'autorité cantonale une inspection des lieux, soit dans leur mémoire de recours le 16 avril 2018, dans leurs déterminations du 28 août 2018 et enfin par courrier ultérieur du 11 janvier 2019. Ils ont précisé que cette mesure d'instruction visait à permettre à la cour cantonale de mesurer l'intégration de la dépendance litigieuse au bâtiment lui-même, mais aussi par rapport à l'environnement bâti, à comparer cette dépendance à d'autres constructions autorisées dans le voisinage et à démontrer l'absence d'atteinte aux intérêts des seuls voisins opposants; cette vision locale devait aussi permettre de rendre compte des difficultés concrètes liées à la démolition ordonnée (construction intégrée dans le terrain, liée par un crépi au bâtiment principal, établie sur des fondations, soutenant et consolidant la servitude de passage longeant sa façade nord). Dans sa décision, la cour cantonale a estimé que les plans et photographies du bâtiment et de ses abords figurant au dossier, les images disponibles sur les sites Internet de l'Etat de Vaud (guichet cartographique cantonal) et de Google Street View suffisaient à la renseigner sur les faits pertinents et la configuration des lieux. Par appréciation anticipée des preuves, elle s'est estimée en mesure de statuer en connaissance de cause et a renoncé à une vision locale.</w:t>
      </w:r>
    </w:p>
    <w:p>
      <w:r>
        <w:rPr>
          <w:b/>
        </w:rPr>
        <w:t>E. 2.4</w:t>
      </w:r>
    </w:p>
    <w:p>
      <w:r>
        <w:t>La Municipalité a refusé la régularisation a posteriori du garage litigieux en indiquant qu'il dénaturait la façade nord du bâtiment concerné auquel la note 3 (intérêt local) avait été attribuée dans le cadre du recensement architectural. Elle a ajouté qu'il s'agissait d'un élément insolite dont l'aspect empêchait toute intégration avec le bâtiment existant. Elle s'est fondée sur les art. 10 et 33 RPEC relatifs à l'esthétique. La cour cantonale a considéré que la Municipalité avait fondé sa décision sur des critères objectifs et qu'il n'y avait pas de raison de s'écarter de son appréciation. Elle a précisé qu'il ressortait d'une photographie au dossier que le garage préfabriqué détonnait singulièrement de la façade concernée et du bâtiment dans son ensemble, et ce, tant au niveau du style et de la forme que de la couleur blanche. La photographie sur laquelle l'instance précédente s'est fondée a cependant été déposée par les opposants (jugement attaqué consid. 4d p. 10) et ne donne qu'une vue partielle du garage dont on ne peut mesurer l'impact sur la façade dans son ensemble. Il s'agit en réalité du seul document photographique déposé en cause. Les informations disponibles sur le Guichet cartographique cantonal sont des vues aériennes qui ne permettent de juger ni du degré d'intégration du garage au bâti, ni des nuisances esthétiques dont se sont prévalus les propriétaires de la parcelle n° 802 pour dénoncer la non-conformité de l'exécution par rapport aux plans mis à l'enquête publique. Quant aux images disponibles sur Google Street View, pour autant qu'elles puissent être suffisantes pour apprécier la question litigieuse, elles sont antérieures aux travaux entrepris sur la bâtisse puisqu'elles datent de septembre 2014, de sorte qu'il n'est pas possible de juger de l'intégration du garage par rapport à l'immeuble principal. Ce dernier a en effet été modifié de façon non négligeable (adjonction de balcon, terrasse et nouvelles ouvertures, aménagements extérieurs, couleur de la façade) et les arguments avancés par l'autorité cantonale ne sont pas d'actualité. En fin de compte, ni la seule photographie figurant au dossier, ni les images disponibles sur Internet ne permettent de rendre compte du caractère insolite du garage dont l'aspect empêcherait toute intégration avec le bâtiment existant. Or le caractère inesthétique de la construction justifie à la fois le refus de la requête de régularisation et l'obligation de remise en l'état fondée sur l'intérêt public prépondérant au maintien des qualités historico-architecturales de la construction. L'esthétique de la construction joue un rôle prépondérant puisqu'elle s'oppose, dans la pesée des intérêts, à l'intérêt privé des recourants dont la bonne foi ne saurait être exclue. Dans ces circonstances, il n'est pas possible pour le Tribunal fédéral de déterminer si la décision de refuser la régularisation de la construction litigieuse et d'obliger les administrés à procéder à une démolition et à une remise en état se justifient par la clause d'esthétique et d'intégration de l'art. 86 LATC. Faute de contenir les motifs déterminants de fait, aux termes de l' art. 112 al. 1 let. b LTF , la décision attaquée doit être annulée en application de l' art. 112 al. 3 LTF et la cause doit être retournée au Tribunal cantonal pour qu'il rende une décision qui réponde aux exigences de l' art. 112 al. 1 LTF . Il lui appartiendra notamment de faire produire un dossier de photographies actuelles ou de procéder à une inspection locale.</w:t>
      </w:r>
    </w:p>
    <w:p>
      <w:r>
        <w:rPr>
          <w:b/>
        </w:rPr>
        <w:t>E. 3</w:t>
      </w:r>
    </w:p>
    <w:p>
      <w:r>
        <w:t>Les considérants qui précèdent conduisent à l'admission du recours. L'arrêt attaqué est annulé et la cause renvoyée à la cour cantonale pour nouvelle instruction au sens des considérants et nouvelle décision. Il est statué sans frais ( art. 66 al. 1 et 4 LTF ). L'admission du recours étant essentiellement fondée sur des motifs liés à un état de fait défaillant, l'Etat de Vaud versera des dépens aux recourants, qui obtiennent gain de cause avec l'assistance d'un avocat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