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1C_314/2024 vom 4. Juni 2024</w:t>
      </w:r>
    </w:p>
    <w:p>
      <w:r>
        <w:t>Bundesgericht, 2024-06-04, DE</w:t>
      </w:r>
    </w:p>
    <w:p>
      <w:r>
        <w:rPr>
          <w:b/>
        </w:rPr>
        <w:t xml:space="preserve">Quelle: </w:t>
      </w:r>
      <w:r>
        <w:t>https://mcp.opencaselaw.ch/entscheid/bger_1C_314_2024</w:t>
      </w:r>
    </w:p>
    <w:p>
      <w:r>
        <w:t>FR: TF 1C_314/2024 du 4 juin 2024</w:t>
      </w:r>
    </w:p>
    <w:p>
      <w:r>
        <w:t>IT: TF 1C_314/2024 del 4 giugno 2024</w:t>
      </w:r>
    </w:p>
    <w:p>
      <w:pPr>
        <w:pStyle w:val="Heading2"/>
      </w:pPr>
      <w:r>
        <w:t>Erwägungen</w:t>
      </w:r>
    </w:p>
    <w:p>
      <w:r>
        <w:rPr>
          <w:b/>
        </w:rPr>
        <w:t>E. 1</w:t>
      </w:r>
    </w:p>
    <w:p>
      <w:r>
        <w:t>Jürg Ruckstuhl erhob am 19. Mai 2024 beim Bundesgericht Beschwerde betreffend die auf den 9. Juni 2024 angesetzte Volksabstimmung über das Bundesgesetz über eine sichere Stromversorgung mit erneuerbaren Energien vom 29. September 2023. Er rügt die "Verschleierung wichtiger Entscheidungsgrundlagen im Abstimmungstext" und unwahre Aussagen in der "bundesrätlichen Botschaft" zum fraglichen Bundesgesetz bzw. eine irreführende Aussage auf Seite 44 des Abstimmungsbüchleins zur Volksabstimmung. Er beantragt die Aufhebung des Abstimmungsentscheids vom 9. Juni 2024. Am 3. Juni 2024 (Posteingang) reichte er auf Aufforderung vonseiten des Bundesgerichts die eigenhändig unterschriebene Beschwerde ein.</w:t>
      </w:r>
    </w:p>
    <w:p>
      <w:r>
        <w:t>Das Bundesgericht verzichtet auf die Einholung von Vernehmlassungen.</w:t>
      </w:r>
    </w:p>
    <w:p>
      <w:r>
        <w:rPr>
          <w:b/>
        </w:rPr>
        <w:t>E. 2</w:t>
      </w:r>
    </w:p>
    <w:p>
      <w:r>
        <w:t>Der Beschwerdeführer ist mit seiner Beschwerde betreffend die erwähnte Volksabstimmung direkt an das Bundesgericht gelangt. In eidgenössischen Stimmrechtssachen ist die Beschwerde an das Bundesgericht indes nur zulässig gegen Verfügungen der Bundeskanzlei und Entscheide der Kantonsregierungen über Beschwerden gemäss Art. 77 des Bundesgesetzes vom 17. Dezember 1976 über die politischen Rechte (BPR; SR 161.1; Art. 88 Abs. 1 lit. b BGG ; Art. 80 Abs. 1 BPR ). Das Bundesgericht ist demnach für die vorliegende Beschwerde offensichtlich nicht zuständig.</w:t>
      </w:r>
    </w:p>
    <w:p>
      <w:r>
        <w:t>Damit ist auf die Beschwerde im vereinfachten Verfahren nach Art. 108 Abs. 1 BGG nicht einzutreten. Die Beschwerde ist zuständigkeitshalber der Kantonsregierung zu überweisen, wobei der Beschwerdeführer darauf aufmerksam gemacht wird, dass aufgrund von Art. 189 Abs. 4 BV im Bereich der politischen Rechte Akte der Bundesversammlung und des Bundesrats, insbesondere dessen Abstimmungserläuterungen, nicht direkt angefochten werden können (vgl. BGE 147 I 194 E. 4.1 mit Hinweisen) und Beschwerden nach Art. 77 BPR an die Kantonsregierung innert drei Tagen seit der Entdeckung des Beschwerdegrundes, spätestens jedoch am dritten Tag nach der Veröffentlichung der Ergebnisse im kantonalen Amtsblatt einzureichen sind ( Art. 77 Abs. 2 BPR ).</w:t>
      </w:r>
    </w:p>
    <w:p>
      <w:r>
        <w:rPr>
          <w:b/>
        </w:rPr>
        <w:t>E. 3</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