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314/2021 vom 18. März 2022</w:t>
      </w:r>
    </w:p>
    <w:p>
      <w:r>
        <w:t>Bundesgericht, 2022-03-18, FR</w:t>
      </w:r>
    </w:p>
    <w:p>
      <w:r>
        <w:rPr>
          <w:b/>
        </w:rPr>
        <w:t xml:space="preserve">Quelle: </w:t>
      </w:r>
      <w:r>
        <w:t>https://mcp.opencaselaw.ch/entscheid/bger_1C_314_2021</w:t>
      </w:r>
    </w:p>
    <w:p>
      <w:r>
        <w:t>FR: TF 1C 314/2021 du 18 mars 2022</w:t>
      </w:r>
    </w:p>
    <w:p>
      <w:r>
        <w:t>IT: TF 1C 314/2021 del 18 marzo 2022</w:t>
      </w:r>
    </w:p>
    <w:p>
      <w:pPr>
        <w:pStyle w:val="Heading2"/>
      </w:pPr>
      <w:r>
        <w:t>Regeste</w:t>
      </w:r>
    </w:p>
    <w:p>
      <w:r>
        <w:t>révision d'un plan d'aménagement local; refus de classer en zone à bâtir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en principe recevable - indépendamment de son intitulé erroné (cf. ATF 134 III 379 consid. 1.2) - comme recours en matière de droit public conformément aux art. 82 ss LTF , aucune des exceptions prévues à l' art. 83 LTF n'étant réalisée. Le recourant a pris part à la procédure devant l'autorité précédente. En tant que propriétaire de la parcelle concernée par la modification no 55 refusée en dernière instance cantonale, il bénéficie d'un intérêt digne de protection à l'annulation de l'arrêt attaqué. Sa qualité pour agir au sens de l' art. 89 al. 1 LTF est acquise. Le recours a au surplus été déposé en temps utile.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146 I 62 consid. 3). Par ailleurs, le Tribunal fédéral statue en principe sur la base des faits établis par l'instance précédente (105 al. 1 LTF),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Dans ce contexte également, s'appliquent les exigences de motivation de l' art. 106 al. 2 LTF :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p. 375; 137 II 353 consid. 5.1 p. 356).</w:t>
      </w:r>
    </w:p>
    <w:p>
      <w:r>
        <w:rPr>
          <w:b/>
        </w:rPr>
        <w:t>E. 3</w:t>
      </w:r>
    </w:p>
    <w:p>
      <w:r>
        <w:t>Le mémoire de recours se compose de trois sections intitulées "Bref exposé des faits", pour la première, "constatation des faits manifestement inexactes[sic]", pour la seconde, et "Faits établis contraire[sic] au droit", pour la dernière. A l'appui de ces griefs, le recourant ne développe cependant pas d'argumentation conforme aux exigences de motivation du recours fédéral démontrant que les constatations de la cour cantonale seraient arbitraires (au sujet de l'arbitraire dans la constatation des faits, cf. notamment ATF 143 IV 500 consid. 1.1) : il se contente de dépeindre sa propre version des faits. Le Tribunal fédéral se fondera par conséquent sur les faits souverainement établis par l'instance précédente ( art. 105 al. 1 LTF ). Le recours ne présentant au surplus aucun grief matériel, on peut douter de sa recevabilité. Cette question peut cependant demeurer indécise, car même à supposer qu'elles relèveraient du fond, les critiques du recourant s'avéreraient mal fondées pour les motifs qui suivent.</w:t>
      </w:r>
    </w:p>
    <w:p>
      <w:r>
        <w:rPr>
          <w:b/>
        </w:rPr>
        <w:t>E. 3.1</w:t>
      </w:r>
    </w:p>
    <w:p>
      <w:r>
        <w:t>Se fondant sur le PDCant, et prenant en compte les importantes réserves en zone à bâtir, une desserte insuffisante en transports publics ainsi que le caractère excentré de la parcelle du recourant, la cour cantonale a considéré que l'extension de la zone à bâtir à cet endroit ne se justifiait pas et a confirmé le maintien de la partie est de ce bien-fonds hors de la zone à bâtir.</w:t>
      </w:r>
    </w:p>
    <w:p>
      <w:r>
        <w:rPr>
          <w:b/>
        </w:rPr>
        <w:t>E. 3.1.1</w:t>
      </w:r>
    </w:p>
    <w:p>
      <w:r>
        <w:t>Selon le recourant, la réintégration de la partie est de sa parcelle relèverait de la nécessaire correction d'une erreur. Si la commune a affirmé que le déclassement en 2003 de la parcelle du recourant était certes une "erreur", il n'en demeure pas moins, ce qui n'est pas contesté, que le PAL de 2003 a été adopté à l'issue d'une procédure conforme à la LAT, préservant notamment le droit d'être entendu du recourant (cf. art. 33 LAT ; AEMISEGGER/HAAG, in Commentaire pratique LAT: Autorisation de construire, protection juridique et procédure, 2020, n. 30 ad art. 33 LAT ). Il eût ainsi appartenu au recourant, dans ce cadre, en sa qualité de propriétaire, de se tenir alors informé et de faire, le cas échéant, valoir ses droits. Le recourant ne prétend d'ailleurs pas qu'il aurait été empêché de procéder ainsi: émettre le reproche de n'avoir alors pas été informé personnellement est à cet égard insuffisant, d'autant que le recourant ne prétend pas qu'une telle obligation serait prévue par le droit cantonal (cf. art. 106 al. 2 LTF ). Il n'est pas non plus douteux que le PAL de 2003, singulièrement l'affectation à la zone agricole de la partie est de la parcelle, a été valablement approuvé par l'autorité cantonale compétente ( art. 26 LAT ). Dans ces conditions, il n'est plus question de corriger une erreur, mais de déterminer si le maintien de la partie est de la parcelle en zone agricole répond aux critères de la législation sur l'aménagement du territoire, ce qu'il convient d'examiner maintenant.</w:t>
      </w:r>
    </w:p>
    <w:p>
      <w:r>
        <w:rPr>
          <w:b/>
        </w:rPr>
        <w:t>E. 3.1.2</w:t>
      </w:r>
    </w:p>
    <w:p>
      <w:r>
        <w:t>A cet égard, on ne saurait suivre le recourant lorsqu'il reproche à la DAEC et à la cour cantonale, d'avoir fondé leur appréciation sur le nouveau PDCant, entré en vigueur en octobre 2018, de même que sur la loi fédérale sur l'aménagement du territoire du 22 juin 1979 (LAT; RS 700), dans sa version entrée en vigueur le 1er mai 2014, au motif que ses démarches visant à la réintégration de sa parcelle en zone à bâtir seraient antérieures - initiées en 2013 déjà. Il perd en effet de vue que la cause ne porte pas à proprement parler sur la réintégration d'une partie de son bien-fonds en zone à bâtir - si bien que la date de ses premières démarches est sans pertinence -, mais sur l'approbation de la dernière révision du PAL de la commune de Bas-Intyamon. Or, la DAEC ayant approuvé le PAL (cf. art. 26 LAT ) le 20 juillet 2020, il n'est pas discutable - faute au demeurant de critique à ce sujet - d'avoir procédé à son examen à la lumière du nouveau PDCant adopté par le Conseil d'Etat le 2 octobre 2018 (cf. art 18 de la loi cantonale sur l'aménagement du territoire et les constructions du 2 décembre 2008 [LATeC; RS/FR 710.1]; arrêt 1C_536/2019 du 16 septembre 2020 consid. 5.4.1) et approuvé par le Conseil fédéral les 1er mai 2019 (volet urbanisation; FF 2019 p. 3290) et 19 août 2020 (seconde partie; FF 2020 p. 6661). Il n'est d'ailleurs pas non plus critiquable d'avoir examiné la cause, singulièrement l'opposition du recourant, à la lumière de la LAT, dans sa version entrée en vigueur le 1er mai 2014, l'instance de recours appliquant, selon la jurisprudence constante, le droit en vigueur au jour où la juridiction de première instance a statué (cf. ATF 141 II 393 consid. 2.4).</w:t>
      </w:r>
    </w:p>
    <w:p>
      <w:r>
        <w:rPr>
          <w:b/>
        </w:rPr>
        <w:t>E. 3.1.3</w:t>
      </w:r>
    </w:p>
    <w:p>
      <w:r>
        <w:t>Le recourant affirme ensuite que le Tribunal cantonal aurait à tort considéré que "la gare d'Enney [serait] le «centre» de la vie de la commune de Bas-Intyamon". Même si Enney est le siège de l'administration de la nouvelle commune fusionnée, chaque village se développerait de manière indépendante sur le plan de l'habitat. Il serait ainsi erroné d'avoir retenu que sa parcelle se situait à l'écart du centre principal de la commune. Son chalet se situerait dans un quartier de résidences secondaires occupant une surface d'environ 300 m sur 400 m. Il ne conteste pas que sa parcelle est entourée de terrains affectés à la zone agricole, mais soutient qu'il ne s'agirait pas d'une spécificité propre à son fonds. Par cette argumentation, le recourant se contente toutefois d'opposer sa propre appréciation à celle de l'instance précédente, dont rien ne commande partant de s'écarter. Selon le PDCant, le bien-fonds litigieux se situe dans un espace périurbain et préalpin (cf. PDCant, Section B - Volet stratégique, Carte de la typologie d'urbanisation, p. 13); il n'est pas compris dans un secteur d'extension du territoire d'urbanisation/secteur stratégique (cf. PDCant, Carte de synthèse). Le village d'Estavannens se trouve en outre "en priorité 4 - croissance modérée" (cf. PDCant, Section B - Volet stratégique, Schéma stratégique, p. 28). Par ailleurs, la cour cantonale a considéré que, selon les critères du PDCant, la commune ne dispose plus de potentiel de mise en zone destinée à l'habitat (cf. PDCant, CH1 Territoire d'urbanisation, T102 Dimensionnement et gestion de la zone à bâtir, ch. 2, p. 2), ce que le recourant ne discute pas sérieusement; les dénégations de la commune, non documentées, n'y changent rien. Le secteur d'Estavannens est en outre insuffisamment desservi par les transports publics (cf. art. 3 al. 3 let. a LAT ; niveau de desserte E, selon le PDCant; cf. préavis du Service cantonal de la mobilité [SMo] du 15 mai 2018 défavorable à la modification no 55; PDCant, CH2 Mobilité, T201 Transports publics, p. 9), niveau de desserte d'ailleurs également considéré comme insuffisant par l'ARE dans son rapport d'examen du 9 avril 2019 relatif à l'approbation du PDCant (p. 13 s.). Dans ces conditions, on ne voit pas en quoi il serait critiquable d'avoir maintenu la partie est de la parcelle litigieuse hors de la zone à bâtir. A cela s'ajoute que ce bien-fonds est situé à l'extrémité sud-est de la zone résidentielle à faible densité 1 d'Estavannens; il est en partie entourés de terrains affectés à l'agriculture, ce qui plaide également en faveur du maintien de sa partie est en zone agricole: on ne comprend du reste pas en quoi le fait que le solde de la parcelle, qui supporte le chalet, se trouve en zone à bâtir - ce que la cour cantonale n'a pas ignoré - commanderait, malgré les éléments ci-dessus, un classement de la portion est du terrain. Les conditions d'un classement au sens de l' art. 15 al. 4 LAT n'apparaissent pas réalisées (cf. AEMISEGGER/KISSLING, in Commentaire pratique LAT: Planifier l'affectation, 2016, n. 44 ss).</w:t>
      </w:r>
    </w:p>
    <w:p>
      <w:r>
        <w:rPr>
          <w:b/>
        </w:rPr>
        <w:t>E. 3.1.4</w:t>
      </w:r>
    </w:p>
    <w:p>
      <w:r>
        <w:t>Le recourant s'étonne enfin qu'après l'achat d'un terrain constructible, celui-ci puisse "du jour au lendemain" être déclassé; il ne pouvait imaginer après avoir acquis la parcelle auprès de la commune, que quatre ans plus tard, celle-ci serait déclassée en zone agricole. Une telle manière de procéder ne serait pas conforme au "bon usage". Il ne se prévaut cependant plus d'une violation du principe de la bonne foi ( art. 5 al. 3 Cst. ), grief constitutionnel qu'il n'appartient pas au Tribunal fédéral d'examiner d'office ( art. 106 al. 2 LTF ). Cette critique est irrecevable.</w:t>
      </w:r>
    </w:p>
    <w:p>
      <w:r>
        <w:rPr>
          <w:b/>
        </w:rPr>
        <w:t>E. 3.2</w:t>
      </w:r>
    </w:p>
    <w:p>
      <w:r>
        <w:t>Sur le vu de ce qui précède, les griefs doivent être rejetés dans la mesure de leur recevabilité.</w:t>
      </w:r>
    </w:p>
    <w:p>
      <w:r>
        <w:rPr>
          <w:b/>
        </w:rPr>
        <w:t>E. 4</w:t>
      </w:r>
    </w:p>
    <w:p>
      <w:r>
        <w:t>Cela conduit au rejet du recours dans la mesure où il est recevable,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