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313/2014 vom 28. Oktober 2014</w:t>
      </w:r>
    </w:p>
    <w:p>
      <w:r>
        <w:t>Bundesgericht, 2014-10-28, DE</w:t>
      </w:r>
    </w:p>
    <w:p>
      <w:r>
        <w:rPr>
          <w:b/>
        </w:rPr>
        <w:t xml:space="preserve">Quelle: </w:t>
      </w:r>
      <w:r>
        <w:t>https://mcp.opencaselaw.ch/entscheid/bger_1C_313_2014</w:t>
      </w:r>
    </w:p>
    <w:p>
      <w:r>
        <w:t>FR: TF 1C 313/2014 du 28 octobre 2014</w:t>
      </w:r>
    </w:p>
    <w:p>
      <w:r>
        <w:t>IT: TF 1C 313/2014 del 28 ottobre 2014</w:t>
      </w:r>
    </w:p>
    <w:p>
      <w:pPr>
        <w:pStyle w:val="Heading2"/>
      </w:pPr>
      <w:r>
        <w:t>Regeste</w:t>
      </w:r>
    </w:p>
    <w:p>
      <w:r>
        <w:t>Aufsichtsrechtliche Anzeige; Kunststofffenster im Ortsbildschutzgebiet | Raumplanung und öffentliches Baurecht</w:t>
      </w:r>
    </w:p>
    <w:p>
      <w:pPr>
        <w:pStyle w:val="Heading2"/>
      </w:pPr>
      <w:r>
        <w:t>Erwägungen</w:t>
      </w:r>
    </w:p>
    <w:p>
      <w:r>
        <w:rPr>
          <w:b/>
        </w:rPr>
        <w:t>E. 1.1</w:t>
      </w:r>
    </w:p>
    <w:p>
      <w:r>
        <w:t>Angefochten ist ein kantonal letztinstanzlicher Entscheid in einer öffentlich-rechtlichen Angelegenheit ( Art. 82 ff. BGG ). Dieser betrifft die Aufhebung des Grundsatzentscheids des Stadtrats Altstätten vom 5. Januar 2009. Darin hält der Stadtrat fest, wie er künftig die kommunale Schutzverordnung auszulegen gedenkt. In generell-abstrakter Weise wird festgehalten, dass moderne Materialien, insbesondere Kunststoff, bei Gebäudesanierungen in Ortsbildschutzgebieten und bei Kulturobjekten rückwirkend ab dem 1. Januar 2009 im Grundsatz gestattet sind. Zudem enthält der Beschluss eine organisatorische Anordnung, indem vorgesehen wird, dass Entscheide bezüglich Kunststofffenstern in Ortsbildschutzgebieten und bei Kulturobjekten durch die Ortsbildkommission gefällt werden. Der Sache nach handelt es sich beim Grundsatzentscheid um eine Verwaltungsverordnung, die neben einem organisatorischen auch einen verhaltenslenkenden Gehalt aufweist und somit einen einheitlichen und sachrichtigen Gesetzesvollzug bezweckt ( BGE 128 I 167 E. 4.3 S. 171 f. mit Hinweisen).</w:t>
      </w:r>
    </w:p>
    <w:p>
      <w:r>
        <w:rPr>
          <w:b/>
        </w:rPr>
        <w:t>E. 1.2</w:t>
      </w:r>
    </w:p>
    <w:p>
      <w:r>
        <w:t>Eine Verwaltungsverordnung bzw. ein sie betreffender letztinstanzlicher kantonaler Entscheid ist gemäss der Praxis nur dann direkt der Beschwerde ans Bundesgericht zugänglich, wenn die Verwaltungsverordnung über den Verwaltungsbereich hinaus Aussenwirkungen auf die Rechtsstellung der Bürger entfaltet und wenn gestützt darauf keine Verfügungen getroffen werden, deren Anfechtung möglich ist und den Betroffenen zugemutet werden kann ( BGE 128 I 167 E. 4.3 S. 172; Urteil 2C_752/2012 vom 19. November 2012 E. 2.2.2; je mit Hinweisen). Entsprechendes gilt für die Autonomiebeschwerde. Diese ist ausgeschlossen, soweit verwaltungsinterne Anordnungen in Frage stehen und diese den Vollzug der Gemeindeaufgaben nur indirekt betreffen bzw. gegen deren Anwendung im Einzelfall ein Rechtsmittel offensteht (Urteil 1P.131/1995 vom 28. September 1995 E. 1 mit Hinweis).</w:t>
      </w:r>
    </w:p>
    <w:p>
      <w:r>
        <w:rPr>
          <w:b/>
        </w:rPr>
        <w:t>E. 1.3</w:t>
      </w:r>
    </w:p>
    <w:p>
      <w:r>
        <w:t>Im zuletzt zitierten Urteil berief sich die beschwerdeführende Gemeinde darauf, eine Verwaltungsverordnung der Kantonsregierung habe ihre Autonomie verletzt. Vorliegend verhält es sich anders, zumal nicht eine kantonale Verwaltungsverordnung, sondern eine solche der Gemeinde selbst abstrakt überprüft werden soll. In Bezug auf den Rechtsschutz durch das Bundesgericht ergeben sich daraus jedoch keine Unterschiede: Auf eine Beschwerde gegen einen kantonalen Rechtsmittelentscheid betreffend eine kommunale Verwaltungsverordnung ist insbesondere dann nicht einzutreten, wenn der Rechtsschutz auch im konkreten Einzelfall gewährleistet werden kann. Dies trifft vorliegend zu. Die Gemeinde Altstätten ist gemäss ihren Ausführungen in ihrer Beschwerdeschrift nach wie vor der Auffassung, dass die kommunale Schutzverordnung im Grundsatz die Verwendung moderner Materialien bei Gebäudesanierungen auch in Ortsbildschutzgebieten und an Kulturobjekten gestattet. Sollte sie gestützt auf diese Interpretation in einem künftigen Anwendungsfall eine Baubewilligung erteilen, die im kantonalen Rechtsmittelverfahren aufgehoben wird, so wird sie mit einer Beschwerde ans Bundesgericht auch dannzumal noch eine Verletzung ihrer Autonomie geltend machen können (vgl. in diesem Zusammenhang BGE 120 Ia 321 E. 3d S. 327 betreffend kantonale Merkblätter über "ökologisches Bauen"). Den konkreten Anwendungsfall abzuwarten, erscheint im Übrigen nicht nur zumutbar, sondern auch sinnvoll. Sowohl die Beschwerdeführerin als auch die Vorinstanz gehen davon aus, dass die Zulässigkeit des zu verwendenden Baumaterials von verschiedenen Faktoren abhängt. Aus dem Grundsatzbeschluss geht insofern hervor, dass moderne Materialien lediglich "im Grundsatz" gestattet werden sollen. Ähnlich, aber aus entgegengesetzter Richtung argumentierend, erwägt das Verwaltungsgericht, Kunststofffenster vermöchten dem erhöhten Einordnungsgebot gemäss der Schutzverordnung "grundsätzlich" nicht zu genügen. Worin der Unterschied der beiden Positionen tatsächlich liegt, lässt sich im konkreten Einzelfall zuverlässiger bestimmen.</w:t>
      </w:r>
    </w:p>
    <w:p>
      <w:r>
        <w:rPr>
          <w:b/>
        </w:rPr>
        <w:t>E. 2</w:t>
      </w:r>
    </w:p>
    <w:p>
      <w:r>
        <w:t>Auf die Beschwerde ist aus diesen Gründen nicht einzutreten. Damit ist auch die Rüge nicht zu prüfen, beim Entscheid des Baudepartements seien Ausstandsvorschriften verletzt worden (vgl. BGE 136 II 383 E. 3 S. 388 f. mit Hinweisen). Bei diesem Ausgang des Verfahrens werden keine Gerichtskosten erhoben ( Art. 66 Abs. 4 BGG ) und sind keine Parteientschädigungen ( Art. 68 Abs. 3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