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1C_313/2007 vom 4. Oktober 2007</w:t>
      </w:r>
    </w:p>
    <w:p>
      <w:r>
        <w:t>Bundesgericht, 2007-10-04, DE</w:t>
      </w:r>
    </w:p>
    <w:p>
      <w:r>
        <w:rPr>
          <w:b/>
        </w:rPr>
        <w:t xml:space="preserve">Quelle: </w:t>
      </w:r>
      <w:r>
        <w:t>https://mcp.opencaselaw.ch/entscheid/bger_1C_313_2007</w:t>
      </w:r>
    </w:p>
    <w:p>
      <w:r>
        <w:t>FR: TF 1C_313/2007 du 4 octobre 2007</w:t>
      </w:r>
    </w:p>
    <w:p>
      <w:r>
        <w:t>IT: TF 1C_313/2007 del 4 ottobre 2007</w:t>
      </w:r>
    </w:p>
    <w:p>
      <w:pPr>
        <w:pStyle w:val="Heading2"/>
      </w:pPr>
      <w:r>
        <w:t>Erwägungen</w:t>
      </w:r>
    </w:p>
    <w:p>
      <w:r>
        <w:rPr>
          <w:b/>
        </w:rPr>
        <w:t>E. 1.1</w:t>
      </w:r>
    </w:p>
    <w:p>
      <w:r>
        <w:t>Auf dem Gebiet der internationalen Rechtshilfe in Strafsachen ist gegen Entscheide des Bundesstrafgerichtes unter den im Folgenden (E. 1.2) näher darzulegenden Voraussetzungen die Beschwerde in öffentlich-rechtlichen Angelegenheiten an das Bundesgericht möglich (Art. 84 i.V.m. Art. 86 Abs. 1 lit. b BGG ).</w:t>
      </w:r>
    </w:p>
    <w:p>
      <w:r>
        <w:t>Der Beschwerdeführer hat die Beschwerde innert der Beschwerdefrist von zehn Tagen ( Art. 100 Abs. 2 lit. b BGG ) bei der Vorinstanz eingereicht. Nach Art. 48 Abs. 3 BGG schadet ihm das nicht. Die Beschwerdefrist ist eingehalten.</w:t>
      </w:r>
    </w:p>
    <w:p>
      <w:r>
        <w:rPr>
          <w:b/>
        </w:rPr>
        <w:t>E. 1.2</w:t>
      </w:r>
    </w:p>
    <w:p>
      <w:r>
        <w:t>Gemäss Art. 84 Abs. 1 BGG ist gegen einen Entscheid auf dem Gebiet der internationalen Rechtshilfe in Strafsachen die Beschwerde in öffentlich-rechtlichen Angelegenheiten nur zulässig, wenn er unter anderem eine Auslieferung betrifft und es sich um einen besonders bedeutenden Fall handelt.</w:t>
      </w:r>
    </w:p>
    <w:p>
      <w:r>
        <w:t>Nach Art. 93 Abs. 2 BGG sind auf dem Gebiet der internationalen Rechtshilfe in Strafsachen Vor- und Zwischenentscheide nicht anfechtbar. Vorbehalten bleiben Beschwerden gegen Entscheide über die Auslieferungshaft (...), sofern die Voraussetzungen von Absatz 1 erfüllt sind. Gemäss Art. 93 Abs. 1 BGG ist die Beschwerde namentlich zulässig, wenn die Vor- oder Zwischenentscheide einen nicht wieder gutzumachenden Nachteil bewirken können (lit. a).</w:t>
      </w:r>
    </w:p>
    <w:p>
      <w:r>
        <w:t>Die Voraussetzung des besonders bedeutenden Falles nach Art. 84 BGG muss auch gegeben sein, wenn es - wie hier - um einen Zwischenentscheid geht (Urteil 1C_144/2007 vom 8. Juni 2007 E. 1.2).</w:t>
      </w:r>
    </w:p>
    <w:p>
      <w:r>
        <w:t>Gemäss Art. 42 BGG haben Rechtsschriften die Begehren und deren Begründung zu enthalten (Abs. 1). In der Begründung ist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108 BGG entscheidet der Präsident oder die Präsidentin der Abteilung im vereinfachten Verfahren unter anderem über Nichteintreten auf Beschwerden, die offensichtlich keine hinreichende Begründung (Art. 42 Abs. 2) enthalten (Abs. 1 lit. b). Er oder sie kann einen anderen Richter oder eine andere Richterin damit betrauen (Abs. 2). Die Begründung des Entscheids beschränkt sich auf eine kurze Angabe des Unzulässigkeitsgrundes (Abs. 3).</w:t>
      </w:r>
    </w:p>
    <w:p>
      <w:r>
        <w:rPr>
          <w:b/>
        </w:rPr>
        <w:t>E. 1.3</w:t>
      </w:r>
    </w:p>
    <w:p>
      <w:r>
        <w:t>Der Beschwerdeführer legt mit keinem Wort dar und es ist auch nicht ohne weiteres erkennbar, weshalb hier ein besonders bedeutender Fall nach Art. 84 BGG gegeben sein soll. Es ist nicht Aufgabe des Bundesgerichtes, von Amtes wegen nach Gründen zu forschen, die für die Annahme eines besonders bedeutenden Falles sprechen könnten. Mangels hinreichender Begründung kann auf die Beschwerde nicht eingetreten werden.</w:t>
      </w:r>
    </w:p>
    <w:p>
      <w:r>
        <w:t>Da dies offensichtlich ist, ist gemäss Art. 108 Abs. 1 lit. b BGG der Einzelrichter zum Entscheid befugt ( BGE 133 IV 125 E. 1.2 S. 128).</w:t>
      </w:r>
    </w:p>
    <w:p>
      <w:r>
        <w:rPr>
          <w:b/>
        </w:rPr>
        <w:t>E. 2</w:t>
      </w:r>
    </w:p>
    <w:p>
      <w:r>
        <w:t>In Anbetracht der finanziellen Verhältnisse des Beschwerdeführers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