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1C_312/2021 vom 1. Juni 2022</w:t>
      </w:r>
    </w:p>
    <w:p>
      <w:r>
        <w:t>Bundesgericht, 2022-06-01, IT</w:t>
      </w:r>
    </w:p>
    <w:p>
      <w:r>
        <w:rPr>
          <w:b/>
        </w:rPr>
        <w:t xml:space="preserve">Quelle: </w:t>
      </w:r>
      <w:r>
        <w:t>https://mcp.opencaselaw.ch/entscheid/bger_1C_312_2021</w:t>
      </w:r>
    </w:p>
    <w:p>
      <w:r>
        <w:t>FR: TF 1C_312/2021 du 1 juin 2022</w:t>
      </w:r>
    </w:p>
    <w:p>
      <w:r>
        <w:t>IT: TF 1C_312/2021 del 1 giugno 2022</w:t>
      </w:r>
    </w:p>
    <w:p>
      <w:pPr>
        <w:pStyle w:val="Heading2"/>
      </w:pPr>
      <w:r>
        <w:t>Erwägungen</w:t>
      </w:r>
    </w:p>
    <w:p>
      <w:r>
        <w:rPr>
          <w:b/>
        </w:rPr>
        <w:t>E. 1.1</w:t>
      </w:r>
    </w:p>
    <w:p>
      <w:r>
        <w:t>Il Tribunale federale esamina d'ufficio se e in che misura un ricorso può essere esaminato nel merito ( DTF 147 IV 453 consid. 1; 147 I 268 consid. 1).</w:t>
      </w:r>
    </w:p>
    <w:p>
      <w:r>
        <w:rPr>
          <w:b/>
        </w:rPr>
        <w:t>E. 1.2</w:t>
      </w:r>
    </w:p>
    <w:p>
      <w:r>
        <w:t>Presentato tempestivamente contro una decisione dell'ultima istanza cantonale in materia pianificatoria, il ricorso in materia di diritto pubblico è ammissibile sotto il profilo degli art. 82 lett. a e 86 cpv. 1 lett. d LTF ( DTF 133 II 409 consid. 1.1). Il ricorrente è legittimato secondo l'art. 89 cpv. 2 lett. c LTF a fare valere una violazione della sua autonomia ( DTF 146 I 83 consid. 1.2).</w:t>
      </w:r>
    </w:p>
    <w:p>
      <w:r>
        <w:rPr>
          <w:b/>
        </w:rPr>
        <w:t>E. 1.3</w:t>
      </w:r>
    </w:p>
    <w:p>
      <w:r>
        <w:t>La Corte cantonale ha esaminato il tenore dell'art. 28bis n. 5 cpv. 1 lett. iii NAPR, relativo al vincolo di Spazio libero da edificazioni attorno al Palazzo dei Landfogti (BC4). Questa disposizione prevede che</w:t>
      </w:r>
    </w:p>
    <w:p>
      <w:r>
        <w:t>"[a]llo scopo di rievocare lo spazio libero attorno al Palazzo e di evitare tipologie edilizie dissonanti nelle sue immediate adiacenze, in queste aree sono ammesse solo ricostruzioni qualificanti, che siano poste il più lontano possibile dal BC4 (5744, 862, 844p, 760 e 761) " . Ha inoltre vagliato la normativa relativa agli interventi edilizi ammissibili sugli edifici esistenti, giungendo alla conclusione che, alla luce della stessa, la portata del vincolo appariva poco chiara. La Corte cantonale ha infatti rilevato che, da un lato, l'art. 28bis n. 5 cpv. 1 lett. iii NAPR limitava, in caso di ricostruzione, l'ingombro dei nuovi edifici alla volumetria esistente, escludendo la possibilità di un ampliamento al fine di preservare lo spazio attorno al bene culturale. Dall'altro lato, le norme pianificatorie applicabili agli edifici esistenti ammettevano però una ricostruzione più estesa, con la possibilità di ampliamenti dei volumi sia in verticale che in orizzontale. La precedente istanza ha quindi rinviato gli atti al Comune per l'elaborazione di una variante che definisca l'esatta portata del vincolo di spazio libero attorno al citato bene culturale.</w:t>
      </w:r>
    </w:p>
    <w:p>
      <w:r>
        <w:rPr>
          <w:b/>
        </w:rPr>
        <w:t>E. 1.4</w:t>
      </w:r>
    </w:p>
    <w:p>
      <w:r>
        <w:t>La sentenza impugnata costituisce una decisione di rinvio, che non conclude la procedura pianificatoria ed è quindi incidentale ai sensi dell' art. 93 LTF ( DTF 144 III 253 consid. 1.3; 140 V 282 consid. 2 in fine) : può pertanto essere oggetto di un ricorso diretto al Tribunale federale solo se può causare un pregiudizio irreparabile (lett. a) o se l'accoglimento del gravame comporterebbe immediatamente una decisione finale consentendo di evitare una procedura probatoria defatigante o dispendiosa (lett. b).</w:t>
      </w:r>
    </w:p>
    <w:p>
      <w:r>
        <w:t>Queste condizioni di ammissibilità, il cui adempimento dev'essere dimostrato dal ricorrente a meno che non sia manifesto ( DTF 138 III 46 consid. 1.2; 137 III 522 consid. 1.3),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140 V 321 consid. 3.3). Il semplice prolungamento della procedura o l'aumento dei costi collegati alla causa non bastano di regola a fondare un simile pregiudizio ( DTF 144 IV 321 consid. 2.3). Deve inoltre trattarsi, in linea di principio, di un pregiudizio di natura giuridica: se eventuali pregiudizi possono essere eliminati in modo adeguato anche nel contesto di un esame successivo all'emanazione del giudizio finale, questo Tribunale non entra nel merito di impugnative contro decisioni pregiudiziali e incidentali ( DTF 135 II 30 consid. 1.3.2 e 1.3.4).</w:t>
      </w:r>
    </w:p>
    <w:p>
      <w:r>
        <w:t>Un'eccezione a questa regola è data qualora la decisione di rinvio contenga disposizioni vincolanti, che non lasciano alcuno spazio decisionale, anche se relativamente piccolo ( DTF 145 III 42 consid. 2.1), all'autorità inferiore ( DTF 145 V 266 consid. 1.3; 144 IV 321 consid. 2.3; 144 III 253 consid. 1.4).</w:t>
      </w:r>
    </w:p>
    <w:p>
      <w:r>
        <w:rPr>
          <w:b/>
        </w:rPr>
        <w:t>E. 1.5</w:t>
      </w:r>
    </w:p>
    <w:p>
      <w:r>
        <w:t>Il ricorrente non si esprime minimamente sull'adempimento delle condizioni dell' art. 93 cpv. 1 LTF , ma adduce, a torto, che la decisione impugnata sarebbe finale. Non rende quindi seriamente verosimile un pregiudizio irreparabile ai sensi dell' art. 93 cpv. 1 lett. a LTF . In concreto, la Corte cantonale non ha impartito al Comune ingiunzioni vincolanti sul contenuto della futura variante pianificatoria, ma gli ha unicamente imposto di definire l'esatta portata del vincolo, che allo stadio attuale appare poco chiara. Non ha ordinato all'autorità comunale di adottare una determinata formulazione della normativa che essa considera contraria al diritto. La decisione di rinvio lascia infatti al Comune un ampio margine di apprezzamento riguardo alla definizione del vincolo di protezione del bene culturale. La sentenza impugnata annulla inoltre esclusivamente l'approvazione dell'art. 28bis n. 5 cpv. 1 lett. iii NAPR, che nel tenore attuale appare formulato in termini generali. Il rinvio degli atti per precisare il contenuto del vincolo di "Spazio libero da edificazioni attorno al Palazzo" nell'ambito di un'ulteriore variante può certo comportare un maggiore onere di lavoro per il ricorrente. Tuttavia, come visto, nel prolungamento della procedura e nell'eventuale aumento dei suoi costi non è ravvisabile un pregiudizio irreparabile ai sensi dell' art. 93 cpv. 1 lett. a LTF .</w:t>
      </w:r>
    </w:p>
    <w:p>
      <w:r>
        <w:rPr>
          <w:b/>
        </w:rPr>
        <w:t>E. 1.6</w:t>
      </w:r>
    </w:p>
    <w:p>
      <w:r>
        <w:t>Quanto all'ipotesi dell' art. 93 cpv. 1 lett. b LTF , non sono in concreto ravvisabili seri motivi per cui l'elaborazione di una variante, limitata ad una più precisa definizione della portata del suddetto vincolo, dovrebbe comportare una procedura probatoria defatigante o dispendiosa.</w:t>
      </w:r>
    </w:p>
    <w:p>
      <w:r>
        <w:rPr>
          <w:b/>
        </w:rPr>
        <w:t>E. 2</w:t>
      </w:r>
    </w:p>
    <w:p>
      <w:r>
        <w:t>Ne segue che il ricorso deve essere dichiarato inammissibile. Non si prelevano spese giudiziarie ( art. 66 cpv. 4 LTF ). Non si assegnano ripetibili agli opponenti, non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