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1C_310/2010 vom 6. Dezember 2010</w:t>
      </w:r>
    </w:p>
    <w:p>
      <w:r>
        <w:t>Bundesgericht, 2010-12-06, FR</w:t>
      </w:r>
    </w:p>
    <w:p>
      <w:r>
        <w:rPr>
          <w:b/>
        </w:rPr>
        <w:t xml:space="preserve">Quelle: </w:t>
      </w:r>
      <w:r>
        <w:t>https://mcp.opencaselaw.ch/entscheid/bger_1C_310_2010</w:t>
      </w:r>
    </w:p>
    <w:p>
      <w:r>
        <w:t>FR: TF 1C_310/2010 du 6 décembre 2010</w:t>
      </w:r>
    </w:p>
    <w:p>
      <w:r>
        <w:t>IT: TF 1C_310/2010 del 6 dicembre 2010</w:t>
      </w:r>
    </w:p>
    <w:p>
      <w:pPr>
        <w:pStyle w:val="Heading2"/>
      </w:pPr>
      <w:r>
        <w:t>Erwägungen</w:t>
      </w:r>
    </w:p>
    <w:p>
      <w:r>
        <w:rPr>
          <w:b/>
        </w:rPr>
        <w:t>E. 1</w:t>
      </w:r>
    </w:p>
    <w:p>
      <w:r>
        <w:t>Dirigé contre une décision prise en dernière instance cantonale ( art. 86 al. 1 let . d LTF) statuant sur une demande de révision en matière de retrait du permis de conduire ( art. 82 let. a LTF ), le recours est recevable comme recours en matière de droit public selon les art. 82 ss LTF , aucune des exceptions mentionnées à l' art. 83 LTF n'étant réalisée. La recourante est particulièrement touchée par la décision attaquée, qui rejette sa demande de révision d'une décision prenant acte du retrait d'un recours contre une décision ordonnant le retrait de son permis de conduire pour une durée de douze mois; elle a donc un intérêt digne de protection à obtenir son annulation, si bien qu'elle a la qualité pour recourir au sens de l' art. 89 al. 1 LTF . Les autres conditions de recevabilité sont réunies, de sorte qu'il convient d'entrer en matière.</w:t>
      </w:r>
    </w:p>
    <w:p>
      <w:r>
        <w:rPr>
          <w:b/>
        </w:rPr>
        <w:t>E. 2</w:t>
      </w:r>
    </w:p>
    <w:p>
      <w:r>
        <w:t>La voie du recours en matière de droit public étant ouverte en l'espèce, le recours constitutionnel subsidiaire est irrecevable ( art. 113 LTF ).</w:t>
      </w:r>
    </w:p>
    <w:p>
      <w:r>
        <w:rPr>
          <w:b/>
        </w:rPr>
        <w:t>E. 3</w:t>
      </w:r>
    </w:p>
    <w:p>
      <w:r>
        <w:t>Dans un premier grief, la recourante se plaint d'une violation de l' art. 81 al. 1 LPA . Devant le Tribunal fédéral, la violation du droit cantonal ne peut être invoquée que si elle constitue également une atteinte au droit fédéral au sens de l' art. 95 let. a LTF ou au droit international au sens de l' art. 95 let. b LTF . L'atteinte au droit fédéral peut notamment résulter du fait que le droit cantonal a été appliqué de façon arbitraire ( ATF 133 II 249 consid. 1.2.1 p. 251 s. et les références). La recourante ne démontre pas, comme il lui appartenait de le faire, que la violation de la disposition de droit cantonal susmentionnée porte également atteinte au droit fédéral ou international ni qu'elle procède d'une application arbitraire du droit cantonal. Ce premier moyen est donc irrecevable.</w:t>
      </w:r>
    </w:p>
    <w:p>
      <w:r>
        <w:rPr>
          <w:b/>
        </w:rPr>
        <w:t>E. 4</w:t>
      </w:r>
    </w:p>
    <w:p>
      <w:r>
        <w:t>L'interdiction de l'arbitraire est invoquée en relation avec une critique de la constatation des faits. La recourante estime que le Tribunal administratif a considéré arbitrairement qu'elle avait eu connaissance du motif de révision dès la réception de la décision de retrait de permis prononcée par l'OCAN le 23 juin 2009.</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265 s.;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En l'occurrence, le motif de la demande de révision présentée par la recourante résidait dans un prétendu malentendu avec son précédent avocat, qui n'aurait pas respecté ses instructions en retirant le recours du 14 avril 2008. Elle prétend avoir découvert ce motif de révision seulement après avoir consulté son nouvel avocat, le 16 juillet 2009. Cette affirmation est toutefois en contradiction avec ce que la recourante avançait dans sa demande de révision. En effet, elle a allégué à plusieurs reprises devant l'instance précédente qu'elle avait eu connaissance du retrait du recours lorsqu'elle avait reçu la décision de retrait de permis du 23 juin 2009, sans aucunement mentionner qu'elle avait dû attendre l'analyse de son nouvel avocat pour découvrir ce motif de révision.</w:t>
      </w:r>
    </w:p>
    <w:p>
      <w:r>
        <w:t>Par ailleurs, il apparaît douteux que la recourante n'ait pas eu connaissance du motif de révision. Il convient d'abord de rappeler qu'elle était en principe réputée connaître la décision de retrait, en vertu de la règle selon laquelle les actes de l'avocat sont imputables à son client (cf. ATF 107 Ia 168 consid. 2a p. 169; voir aussi ATF 114 Ib 67 consid. 2c p. 70). Or, la recourante ne fait pas valoir de circonstances exceptionnelles qui justifieraient de s'écarter de ce principe. De plus, selon la pratique habituelle, la recourante a dû être informée par son avocat des démarches qu'il a entreprises et de l'issue de la cause. Il n'est en outre guère plausible que la recourante ne se soit pas souciée du sort de son recours du 14 avril 2008. Celui-ci visait en effet une décision de retrait de permis pour une durée de douze mois, ce qui devait la préoccuper puisqu'elle prétend avoir un besoin impératif de son véhicule pour exercer sa profession.</w:t>
      </w:r>
    </w:p>
    <w:p>
      <w:r>
        <w:t>Quoi qu'il en soit, même si la version des faits présentée par la recourante n'est pas complètement impossible, cela ne suffit pas pour démontrer que la constatation de faits ressortant de l'arrêt attaqué est arbitraire au sens de la jurisprudence susmentionnée. Cette constatation apparaît d'autant moins insoutenable qu'elle correspond aux allégués de la recourante, qui affirmait avoir découvert le retrait du recours à réception de la décision du 23 juin 2009. Elle prétendait certes avoir reçu cette décision le 13 juillet 2009 seulement, mais le Tribunal administratif a considéré qu'il fallait prendre en compte la fiction de notification à l'échéance du délai de garde de sept jours (cf. ATF 130 III 396 consid. 1.2.3 p. 399; 127 I 31 consid. 2/aa p. 34; 123 III 492 consid. 1 p. 493 et les arrêts cités), soit le 1er juillet 2009, ce qui n'est pas contesté dans le présent recours. En définitive, l'arrêt attaqué retient sans arbitraire que la recourante a eu connaissance du motif de révision à réception de la décision du 23 juin 2009, de sorte que ce grief doit être rejeté.</w:t>
      </w:r>
    </w:p>
    <w:p>
      <w:r>
        <w:rPr>
          <w:b/>
        </w:rPr>
        <w:t>E. 5</w:t>
      </w:r>
    </w:p>
    <w:p>
      <w:r>
        <w:t>La recourante allègue également que le Tribunal administratif a fait preuve de formalisme excessif en déclarant sa demande de révision irrecevable pour cause de tardiveté.</w:t>
      </w:r>
    </w:p>
    <w:p>
      <w:r>
        <w:rPr>
          <w:b/>
        </w:rPr>
        <w:t>E. 5.1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127 I 31 consid. 2a/bb p. 34 et les arrêts cités).</w:t>
      </w:r>
    </w:p>
    <w:p>
      <w:r>
        <w:rPr>
          <w:b/>
        </w:rPr>
        <w:t>E. 5.2</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1C_549/2009 du 1er mars 2010 consid. 3.2.1 et les références citées). En l'occurrence, on ne voit pas en quoi la stricte application de la règle fixant le délai pour déposer une demande de révision serait injustifiée ou de nature à entraver de manière inadmissible l'accès aux tribunaux. Ainsi, le Tribunal administratif ayant constaté sans arbitraire (cf. supra consid. 4) que le délai de trois mois prévu par l' art. 81 al. 1 LPA commençait à courir au plus tard le 1er juillet 2009, il pouvait constater que la requête déposée le 12 octobre 2009 était irrecevable parce que tardive, sans que l'on puisse lui reprocher d'avoir fait preuve de formalisme excessif.</w:t>
      </w:r>
    </w:p>
    <w:p>
      <w:r>
        <w:rPr>
          <w:b/>
        </w:rPr>
        <w:t>E. 6</w:t>
      </w:r>
    </w:p>
    <w:p>
      <w:r>
        <w:t>Enfin, la recourante se plaint d'une violation de son droit d'être entendue, au motif que le Tribunal administratif ne lui a pas permis de comparaître personnellement pour s'expliquer.</w:t>
      </w:r>
    </w:p>
    <w:p>
      <w:r>
        <w:rPr>
          <w:b/>
        </w:rPr>
        <w:t>E. 6.1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287 consid. 5.1 p. 293; 132 II 485 consid. 3.2 p. 494, V 368 consid. 3.1 p. 371;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6.2</w:t>
      </w:r>
    </w:p>
    <w:p>
      <w:r>
        <w:t>La garantie procédurale minimum conférée par l' art. 29 al. 2 Cst. ne comporte pas, en principe, le droit d'être entendu oralement ( ATF 125 I 209 consid. 9b p. 219; 122 II 464 consid. 4c p. 469 s.; AUER/MALINVERNI/HOTTELIER, Droit constitutionnel suisse, vol. II, 2e éd. 2006, n. 1331 p. 610). Il en va également ainsi dans la procédure administrative cantonale, l' art. 18 LPA prévoyant que la procédure administrative est en principe écrite et l' art. 41 LPA exposant clairement que le droit d'être entendu ne permet pas aux parties de "prétendre à une audition verbale, sauf dispositions légales contraires".</w:t>
      </w:r>
    </w:p>
    <w:p>
      <w:r>
        <w:t>En l'occurrence, on ne voit pas ce qui justifiait de faire une exception aux principes susmentionnés. La recourante prétend qu'une comparution personnelle aurait permis au Tribunal administratif de l'interroger sur la date exacte à laquelle elle aurait pris connaissance du motif de révision. On ne voit cependant pas pour quelle raison une instruction était nécessaire sur ce point, la recourante ayant elle-même allégué à plusieurs reprises dans sa demande de révision qu'elle avait eu connaissance du motif en question à la réception de la décision du 23 juin 2009. Si elle avait réellement eu l'intention d'alléguer autre chose à cet égard, elle pouvait le faire dans le cadre des différents écrits qu'elle a adressés au Tribunal administratif. Pour le surplus, la recourante a pu largement s'exprimer par écrit sur les différents aspects de la cause, de sorte que son droit d'être entendue n'a aucunement été violé.</w:t>
      </w:r>
    </w:p>
    <w:p>
      <w:r>
        <w:rPr>
          <w:b/>
        </w:rPr>
        <w:t>E. 7</w:t>
      </w:r>
    </w:p>
    <w:p>
      <w:r>
        <w:t>Il s'ensuit que le recours doit être rejeté, dans la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