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1C_30/2019 vom 21. Mai 2019</w:t>
      </w:r>
    </w:p>
    <w:p>
      <w:r>
        <w:t>Bundesgericht, 2019-05-21, DE</w:t>
      </w:r>
    </w:p>
    <w:p>
      <w:r>
        <w:rPr>
          <w:b/>
        </w:rPr>
        <w:t xml:space="preserve">Quelle: </w:t>
      </w:r>
      <w:r>
        <w:t>https://mcp.opencaselaw.ch/entscheid/bger_1C_30_2019</w:t>
      </w:r>
    </w:p>
    <w:p>
      <w:r>
        <w:t>FR: TF 1C_30/2019 du 21 mai 2019</w:t>
      </w:r>
    </w:p>
    <w:p>
      <w:r>
        <w:t>IT: TF 1C_30/2019 del 21 maggio 2019</w:t>
      </w:r>
    </w:p>
    <w:p>
      <w:pPr>
        <w:pStyle w:val="Heading2"/>
      </w:pPr>
      <w:r>
        <w:t>Erwägungen</w:t>
      </w:r>
    </w:p>
    <w:p>
      <w:r>
        <w:rPr>
          <w:b/>
        </w:rPr>
        <w:t>E. 1.1</w:t>
      </w:r>
    </w:p>
    <w:p>
      <w:r>
        <w:t>Die Beschwerde richtet sich gegen einen kantonal letztinstanzlichen Endentscheid im Bereich des Baurechts, gegen den grundsätzlich die Beschwerde in öffentlich-rechtlichen Angelegenheiten an das Bundesgericht offen steht (vgl. Art. 82 ff. BGG ).</w:t>
      </w:r>
    </w:p>
    <w:p>
      <w:r>
        <w:rPr>
          <w:b/>
        </w:rPr>
        <w:t>E. 1.2</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Das Bundesgericht verzichtet indes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24 f. mit zahlreichen Hinweisen).</w:t>
      </w:r>
    </w:p>
    <w:p>
      <w:r>
        <w:rPr>
          <w:b/>
        </w:rPr>
        <w:t>E. 1.3.1</w:t>
      </w:r>
    </w:p>
    <w:p>
      <w:r>
        <w:t>Die Beschwerdeführer bringen vor, das bisherige Gebäude aus dem 18. Jahrhundert sei mittlerweile abgebrochen und an dessen Stelle sei ein Neubau getreten. Ihnen sei bewusst, dass sie mit ihrer Beschwerde nicht erreichen könnten, dass der Neubau zurückgebaut und das historische Gebäude rekonstruiert werde. Sie müssten sich daher den Einwand gefallen lassen, über kein schutzwürdiges Interesse an der Aufhebung oder Änderung des angefochtenen Entscheids zu verfügen. Die Frage des schutzwürdigen Interesses könne jedoch offen bleiben, da sich insbesondere die Frage nach der Zulässigkeit der gestaffelten Publikation identischer Baugesuche jederzeit und unter gleichen oder ähnlichen Umständen wieder stellen könnte, an ihrer Beantwortung wegen ihrer grundsätzlichen Bedeutung ein hinreichendes öffentliches Interesse bestehe (grosse Relevanz für Bauherren und Einsprechende) und eine rechtzeitige gerichtliche Überprüfung im Einzelfall kaum je möglich wäre (Bauvorhaben vollendet vor abschliessender gerichtlicher Überprüfung).</w:t>
      </w:r>
    </w:p>
    <w:p>
      <w:r>
        <w:rPr>
          <w:b/>
        </w:rPr>
        <w:t>E. 1.3.2</w:t>
      </w:r>
    </w:p>
    <w:p>
      <w:r>
        <w:t>Die Beschwerdeführer machen weiter geltend, selbst wenn diese aufgeführten Voraussetzungen (E. 1.3.1 hiervor) nicht gegeben sein sollten, sei auf die Beschwerde insoweit einzutreten, als sie die Verletzung von Verfahrensvorschriften bzw. Parteirechten rügten, deren Missachtung eine formelle Rechtsverweigerung darstelle ( BGE 133 II 249 E. 1.3.2 S. 253; 129 II 297 E. 2.3 S. 301). Konkret sei ihr Anspruch auf rechtliches Gehör gemäss Art. 29 Abs. 2 BV missachtet worden, indem der Gemeinderat Altendorf zwei identische Baugesuche ohne schützenswertes Interesse der Bauherrschaft im kantonalen Amtsblatt habe publizieren lassen.</w:t>
      </w:r>
    </w:p>
    <w:p>
      <w:r>
        <w:rPr>
          <w:b/>
        </w:rPr>
        <w:t>E. 1.4</w:t>
      </w:r>
    </w:p>
    <w:p>
      <w:r>
        <w:t>Mit ihren Ausführungen räumen die Beschwerdeführer zu Recht ein, dass das Erfordernis des aktuellen praktischen Interesses schon bei Beschwerdeeinreichung fehlte. Umstritten ist, ob ausnahmsweise auf dieses Erfordernis verzichtet werden kann.</w:t>
      </w:r>
    </w:p>
    <w:p>
      <w:r>
        <w:t>Vorliegend geht es um den Spezialfall eines Wiedererwägungsgesuchs nach kantonalem Verwaltungsrechtspflegegesetz. Die Beschwerdeführer beantragen den Widerruf der Baubewilligung vom 26. Januar 2018. Sie hätten das Verfahren um Wiedererwägung vermeiden können, indem sie nicht nur gegen das erste, sondern auch gegen das zweite, ordentlich publizierte Baugesuch fristgerecht Einsprache erhoben hätten, wie dies auch eine Drittpartei getan hat (vgl. Sachverhalt lit. A. hiervor). Im Normalfall ist eine rechtzeitige Überprüfung der von den Beschwerdeführern (in der ersten Einsprache) gegen das Bauvorhaben vorgebrachten Punkte damit durchaus möglich. Auch bei der von den Beschwerdeführern nun aufgeworfenen Frage der Zulässigkeit der gestaffelten Publikation inhaltlich gleichlautender Baugesuche handelt es sich nicht um eine Grundsatzfrage, die sich jederzeit wieder stellen könnte und an deren Beantwortung ein hinreichendes öffentliches Interesse besteht. Eine grosse Bedeutung für Bauherren und Einsprechende kommt der Frage mangels grosser praktischer Relevanz ebenfalls nicht zu. Die Voraussetzungen für einen ausnahmsweisen Verzicht auf das Erfordernis des aktuellen praktischen Interesses sind damit nicht erfüllt.</w:t>
      </w:r>
    </w:p>
    <w:p>
      <w:r>
        <w:rPr>
          <w:b/>
        </w:rPr>
        <w:t>E. 1.5</w:t>
      </w:r>
    </w:p>
    <w:p>
      <w:r>
        <w:t>Fehlt es den Beschwerdeführern an einem aktuellen praktischen Interesse in der Hauptfrage, so gilt dies auch für die damit eng zusammenhängende prozessuale Frage, ob ihnen insoweit das Recht verweigert wurde. Die Rechtsverweigerungsbeschwerde verfügt insofern über keinen eigenständigen Charakter. Die Rechtslage ist auch nicht vergleichbar mit dem Fall, in dem es den Beschwerdeführern an der Legitimation in der Sache fehlt, Rechtsverweigerungsbeschwerden aber dennoch zulässig sind, soweit sie nicht auf eine inhaltliche Prüfung der Streitsache hinauslaufen (sog. "Star-Praxis", vgl. BGE 135 II 430 E. 3.2 S. 436 f.). Im Unterschied dazu geht es hier nicht um die Legitimation in der Sache; es mangelt vielmehr an der Aktualität des erforderlichen schutzwürdigen Interesses (siehe zum Ganzen Urteil 1C_605/2014 vom 6. Juli 2015 E. 2.6).</w:t>
      </w:r>
    </w:p>
    <w:p>
      <w:r>
        <w:rPr>
          <w:b/>
        </w:rPr>
        <w:t>E. 2</w:t>
      </w:r>
    </w:p>
    <w:p>
      <w:r>
        <w:t>Nach dem Gesagten ist auf die Beschwerde nicht einzutreten.</w:t>
      </w:r>
    </w:p>
    <w:p>
      <w:r>
        <w:t>Bei diesem Ausgang des Verfahrens werden die Beschwerdeführer kostenpflichtig ( Art. 66 Abs. 1 und 5 BGG ). Sie haben der obsiegenden Beschwerdegegnerin eine angemessene Parteientschädigung auszurichten ( Art. 68 Abs. 1, 2 und 4 BGG ). Der Gemeinde Altendorf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