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1C_309/2021 vom 28. Mai 2021</w:t>
      </w:r>
    </w:p>
    <w:p>
      <w:r>
        <w:t>Bundesgericht, 2021-05-28, DE</w:t>
      </w:r>
    </w:p>
    <w:p>
      <w:r>
        <w:rPr>
          <w:b/>
        </w:rPr>
        <w:t xml:space="preserve">Quelle: </w:t>
      </w:r>
      <w:r>
        <w:t>https://mcp.opencaselaw.ch/entscheid/bger_1C_309_2021</w:t>
      </w:r>
    </w:p>
    <w:p>
      <w:r>
        <w:t>FR: TF 1C_309/2021 du 28 mai 2021</w:t>
      </w:r>
    </w:p>
    <w:p>
      <w:r>
        <w:t>IT: TF 1C_309/2021 del 28 maggio 2021</w:t>
      </w:r>
    </w:p>
    <w:p>
      <w:pPr>
        <w:pStyle w:val="Heading2"/>
      </w:pPr>
      <w:r>
        <w:t>Erwägungen</w:t>
      </w:r>
    </w:p>
    <w:p>
      <w:r>
        <w:rPr>
          <w:b/>
        </w:rPr>
        <w:t>E. 1</w:t>
      </w:r>
    </w:p>
    <w:p>
      <w:r>
        <w:t>A.________ erstattete am 29. Oktober 2020 Strafanzeige gegen die Staatsanwältin B.________ wegen Amtsmissbrauchs, fahrlässiger Körperverletzung sowie fahrlässig versuchter Tötung. Er warf ihr vor, der von ihr am 23. Juli 2020 ausgestellte Strafbefehl habe ihn in einen psychischen und körperlichen unkontrollierten Zustand versetzt, was ihn zu einer Selbstverletzung des linken Armes und zu einem Suizidversuch gezwungen habe. Sie habe es unterlassen, ein ärztliches oder psychiatrisches Attest einzuholen. Die Staatsanwaltschaft II des Kantons Zürich ersuchte mit Verfügung vom 27. November 2020 das Obergericht des Kantons Zürich, über die Erteilung bzw. Nichterteilung der Ermächtigung zur Durchführung einer Strafuntersuchung zu entscheiden. Die III. Strafkammer des Obergerichts des Kantons Zürich erteilte mit Beschluss vom 23. April 2021 der Staatsanwaltschaft die Ermächtigung zur Strafverfolgung nicht. Die Angezeigte hätte sich klarerweise nicht strafbar gemacht.</w:t>
      </w:r>
    </w:p>
    <w:p>
      <w:r>
        <w:rPr>
          <w:b/>
        </w:rPr>
        <w:t>E. 2</w:t>
      </w:r>
    </w:p>
    <w:p>
      <w:r>
        <w:t>A.________ führt mit Eingabe vom 21. Mai 2021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in ihrer Begründung dar, weshalb die vom Beschwerdeführer angezeigten Straftatbestände nicht gegeben seien. Mit diesen Ausführungen setzt sich der Beschwerdeführer nicht auseinander. Er vermag nicht aufzuzeigen, inwiefern die Begründung der III. Strafkammer, die zur Verweigerung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