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1C_309/2017 vom 20. November 2017</w:t>
      </w:r>
    </w:p>
    <w:p>
      <w:r>
        <w:t>Bundesgericht, 2017-11-20, FR</w:t>
      </w:r>
    </w:p>
    <w:p>
      <w:r>
        <w:rPr>
          <w:b/>
        </w:rPr>
        <w:t xml:space="preserve">Quelle: </w:t>
      </w:r>
      <w:r>
        <w:t>https://mcp.opencaselaw.ch/entscheid/bger_1C_309_2017</w:t>
      </w:r>
    </w:p>
    <w:p>
      <w:r>
        <w:t>FR: TF 1C_309/2017 du 20 novembre 2017</w:t>
      </w:r>
    </w:p>
    <w:p>
      <w:r>
        <w:t>IT: TF 1C_309/2017 del 20 novembre 2017</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l'octroi d'un permis de construire pour un projet de construction qu'ils tiennent en particulier pour non conforme au règlement communal.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lieu d'entrer en matière sur le fond.</w:t>
      </w:r>
    </w:p>
    <w:p>
      <w:r>
        <w:rPr>
          <w:b/>
        </w:rPr>
        <w:t>E. 2</w:t>
      </w:r>
    </w:p>
    <w:p>
      <w:r>
        <w:t>Dans sa réponse au recours, la Municipalité a produit trois dossiers d'autorisations de construire délivrées entre 1987 et 2003. Ces éléments ne ressortent pas de l'arrêt attaqué et sont irrecevables devant le Tribunal fédéral (cf. art. 99 al. 1 LTF ). Quoi qu'il en soit, ces éléments sont sans incidence sur l'issue du litige (cf. infra consid. 3.4).</w:t>
      </w:r>
    </w:p>
    <w:p>
      <w:r>
        <w:rPr>
          <w:b/>
        </w:rPr>
        <w:t>E. 3</w:t>
      </w:r>
    </w:p>
    <w:p>
      <w:r>
        <w:t>Les recourants soutiennent que le Tribunal cantonal aurait appliqué de manière arbitraire les art. 19, 22 et 160 du règlement communal.</w:t>
      </w:r>
    </w:p>
    <w:p>
      <w:r>
        <w:rPr>
          <w:b/>
        </w:rPr>
        <w:t>E. 3.1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appartient aux recourants de démontrer en vertu de l' art. 106 al. 2 LTF ( ATF 133 II 396 consid. 3.2 p. 400).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132 I 13 consid. 5.1 p. 17).</w:t>
      </w:r>
    </w:p>
    <w:p>
      <w:r>
        <w:rPr>
          <w:b/>
        </w:rPr>
        <w:t>E. 3.2</w:t>
      </w:r>
    </w:p>
    <w:p>
      <w:r>
        <w:t>Selon l'art. 19 RCAT,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 m la hauteur (H) ci-dessus.</w:t>
      </w:r>
    </w:p>
    <w:p>
      <w:r>
        <w:t>En outre, l'art. 22 RCAT prévoit que des éléments de construction au-dessus de la limite de hauteur sont autorisés s'il s'agit de bâtiments d'utilité publique ou pour répondre aux nécessités d'exploitation d'une activité professionnelle.</w:t>
      </w:r>
    </w:p>
    <w:p>
      <w:r>
        <w:t>L'art. 160 RCAT dispose quant à lui qu'en zone d'habitation II, la hauteur (H) des bâtiments, mesurée conformément aux dispositions de l'art. 19 RCAT, est limitée à 8 m.</w:t>
      </w:r>
    </w:p>
    <w:p>
      <w:r>
        <w:rPr>
          <w:b/>
        </w:rPr>
        <w:t>E. 3.3</w:t>
      </w:r>
    </w:p>
    <w:p>
      <w:r>
        <w:t>En l'espèce, il ressort des plans que le bâtiment présente une hauteur de 8 m à la corniche et de 9 m au faîte, et que les lucarnes, qui sont placées dans le toit, sont sises au-dessus de 8 m. Il n'est pas contesté que le faîte du toit puisse dépasser de 1 m la hauteur prescrite par les art. 19 al. 1 et 160 RCAT, car l'art. 19 al. 3 RCAT prévoit une exception dans ce sens.</w:t>
      </w:r>
    </w:p>
    <w:p>
      <w:r>
        <w:t>Les recourants contestent uniquement que les quatre lucarnes puissent prendre place à une hauteur supérieure à celle de 8 m prescrite par les art. 19 al. 1 et 160 RCAT.</w:t>
      </w:r>
    </w:p>
    <w:p>
      <w:r>
        <w:t>Les représentants de la Municipalité ont expliqué lors de l'audience que la Municipalité a pour pratique d'autoriser les lucarnes - au même titre que le faîte - dans le mètre supplémentaire prescrit par l'art. 19 al. 3 RCAT. Ils ont fait valoir que, dans le cas contraire (si les lucarnes devaient être placées en-dessous de 8 m), il ne serait jamais possible de construire des lucarnes.</w:t>
      </w:r>
    </w:p>
    <w:p>
      <w:r>
        <w:t>Les recourants soulignent qu'ils n'ont pas bénéficié pour leur immeuble de cette pratique, qui leur aurait permis d'optimiser leur projet de construction notamment concernant l'habitabilité des combles.</w:t>
      </w:r>
    </w:p>
    <w:p>
      <w:r>
        <w:rPr>
          <w:b/>
        </w:rPr>
        <w:t>E. 3.4</w:t>
      </w:r>
    </w:p>
    <w:p>
      <w:r>
        <w:t>La cour cantonale a rappelé que selon la jurisprudence cantonale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L'instance précédente a jugé sommairement qu'en l'espèce l'interprétation que faisait la Municipalité de son règlement n'apparaissait pas insoutenable: sa pratique d'autoriser des lucarnes dans le mètre supplémentaire prescrit par l'art. 19 al. 3 RCAT pouvait par conséquent être admise.</w:t>
      </w:r>
    </w:p>
    <w:p>
      <w:r>
        <w:t>Le raisonnement du Tribunal cantonal ne convainc pas sous différents points de vue. D'une part, l'existence d'une pratique municipale tendant à autoriser des lucarnes dans le mètre supplémentaire n'a nullement été prouvée. Les trois dossiers d'autorisations de construire délivrées entre 1989 et 2003, fussent-ils recevables (cf. consid. 2 supra), sont insuffisants à établir l'existence d'une telle pratique. De plus, aucune jurisprudence n'a été évoquée sur cette question.</w:t>
      </w:r>
    </w:p>
    <w:p>
      <w:r>
        <w:t>D'autre part, comme le relèvent les recourants, les lucarnes sont des éléments faisant saillie par rapport aux pans de la toiture de l'immeuble; il s'agit d' "éléments de construction" au sens de l'art. 22 du règlement communal dont la présence au dessus de 8 m est autorisée "s'il s'agit de bâtiments d'utilité publique ou pour répondre aux nécessités d'exploitation d'une activité professionnelle". Comme tel n'est pas le cas en l'espèce, ces éléments saillants de la villa doivent être interdits au-dessus de 8 m: le texte des art. 19 et 160 RCAT est clair à cet égard et ne prête pas à interprétation. Si la commune ne souhaite pas appliquer son règlement, elle est libre de le modifier. Par ailleurs, l'argument de la Municipalité selon lequel si les lucarnes devaient être placées en-dessous de 8 m il ne serait jamais possible de construire des lucarnes, manque de pertinence. En effet, des lucarnes peuvent tout à fait être prévues, sans pour autant dépasser la hauteur réglementaire de 8 m; il suffit de concevoir une toiture dont les pans se trouvent en-dessous de 8 m.</w:t>
      </w:r>
    </w:p>
    <w:p>
      <w:r>
        <w:t>Il s'ensuit qu'en confirmant la validité d'une autorisation de construire manifestement contraire aux art. 19 et 160 du règlement communal, l'instance précédente a fait preuve d'arbitraire. Elle a permis la construction de lucarnes dépassant la hauteur maximale réglementaire voulue par le législateur communal. Le grief d'arbitraire dans l'application des art. 19 et 160 du règlement communal est donc fondé.</w:t>
      </w:r>
    </w:p>
    <w:p>
      <w:r>
        <w:rPr>
          <w:b/>
        </w:rPr>
        <w:t>E. 4</w:t>
      </w:r>
    </w:p>
    <w:p>
      <w:r>
        <w:t>Le considérant qui précède conduit à l'annulation de l'arrêt rendu le 2 mai 2017 et au renvoi de la cause à la Municipalité. Il appartiendra à celle-ci soit de refuser l'autorisation de construire soit de l'octroyer à la condition de l'assortir de l'interdiction de construire des lucarnes au-dessus de 8 m.</w:t>
      </w:r>
    </w:p>
    <w:p>
      <w:r>
        <w:t>Les intimés, qui succombent, supporteront les frais judiciaires, même s'ils ont renoncé à se déterminer ( art. 66 al. 1 LTF ; ATF 123 V 156 consid. 3 p. 158; arrêt 5A_572/2012 du 15 novembre 2012 consid. 7). Les frais judiciaires ne peuvent être mis à la charge de la Municipalité de Lutry ( art. 66 al. 4 LTF ). En revanche, les recourants, qui obtiennent gain de cause avec l'aide d'un avocat, ont droit à des dépens, à la charge de la Municipalité de Lutry et des intimés à parts égales et solidairement (art. 68 al. 1 et 2 et art. 66 al. 5 par renvoi de l' art. 68 al. 4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