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1C_308/2021 vom 24. August 2021</w:t>
      </w:r>
    </w:p>
    <w:p>
      <w:r>
        <w:t>Bundesgericht, 2021-08-24, DE</w:t>
      </w:r>
    </w:p>
    <w:p>
      <w:r>
        <w:rPr>
          <w:b/>
        </w:rPr>
        <w:t xml:space="preserve">Quelle: </w:t>
      </w:r>
      <w:r>
        <w:t>https://mcp.opencaselaw.ch/entscheid/bger_1C_308_2021</w:t>
      </w:r>
    </w:p>
    <w:p>
      <w:r>
        <w:t>FR: TF 1C_308/2021 du 24 août 2021</w:t>
      </w:r>
    </w:p>
    <w:p>
      <w:r>
        <w:t>IT: TF 1C_308/2021 del 24 agosto 2021</w:t>
      </w:r>
    </w:p>
    <w:p>
      <w:pPr>
        <w:pStyle w:val="Heading2"/>
      </w:pPr>
      <w:r>
        <w:t>Erwägungen</w:t>
      </w:r>
    </w:p>
    <w:p>
      <w:r>
        <w:rPr>
          <w:b/>
        </w:rPr>
        <w:t>E. 1</w:t>
      </w:r>
    </w:p>
    <w:p>
      <w:r>
        <w:t>Die Beschwerden betreffen die gleiche Volksabstimmung und werfen inhaltlich weitgehend die gleichen Rechtsfragen auf. Es rechtfertigt sich, die Verfahren 1C_308/2021, 1C_339/2021, 1C_352/2021, 1C_359/2021, 1C_360/2021, 1C_369/2021 und 1C_419/2021 zu vereinigen (vgl. Art. 71 BGG i.V.m. Art. 24 des Bundesgesetzes über den Bundeszivilprozess vom 4. Dezember 1947 [BZP; SR 273] ).</w:t>
      </w:r>
    </w:p>
    <w:p>
      <w:r>
        <w:rPr>
          <w:b/>
        </w:rPr>
        <w:t>E. 2.1</w:t>
      </w:r>
    </w:p>
    <w:p>
      <w:r>
        <w:t>In den Verfahren 1C_339/2021, 1C_352/2021, 1C_359/2021, 1C_360/2021 und 1C_369/2021 sind die Vorinstanzen auf die von den Beschwerdeführenden eingereichten Beschwerden im Sinne von Art. 77 Abs. 1 lit. b BPR wegen Unregelmässigkeiten im Vorfeld einer eidgenössischen Volksabstimmung nicht eingetreten. Dagegen steht grundsätzlich die Beschwerde wegen Verletzung politischer Rechte an das Bundesgericht offen (vgl. Art. 80 Abs. 1 BPR i.V.m. Art. 82 lit. c sowie Art. 88 Abs. 1 lit. b BGG ).</w:t>
      </w:r>
    </w:p>
    <w:p>
      <w:r>
        <w:rPr>
          <w:b/>
        </w:rPr>
        <w:t>E. 2.2</w:t>
      </w:r>
    </w:p>
    <w:p>
      <w:r>
        <w:t>Im Verfahren 1C_369/2021 ist die Beschwerde auf den Tag der Abstimmung datiert, wurde aber erst nach Bekanntgabe des provisorischen Ergebnisses eingereicht. Die Beschwerde im Verfahren 1C_419/2021 erging nach der Abstimmung. Alle anderen Beschwerden wurden vor der Abstimmung erhoben, enthalten teilweise aber auch Anträge oder Rügen, die sich auf die Annullierung des Abstimmungsergebnisses richten (so insbesondere ausdrücklich im Verfahren 1C_352/2021). Wieweit es zulässig ist, den Streitgegenstand, wie er den Vorinstanzen vorgelegen hat, in diesem Sinne vor dem Bundesgericht auf die Annullierung der Abstimmung, die erst danach stattgefunden hat, auszuweiten, kann dahingestellt bleiben.</w:t>
      </w:r>
    </w:p>
    <w:p>
      <w:r>
        <w:rPr>
          <w:b/>
        </w:rPr>
        <w:t>E. 2.3</w:t>
      </w:r>
    </w:p>
    <w:p>
      <w:r>
        <w:t>In den fraglichen Verfahren haben die Beschwerdeführenden durchwegs kantonsübergreifende Sachverhalte beanstandet, weswegen der jeweilige Regierungsrat einen formellen Nichteintretensentscheid zu fällen hatte. Soweit die Sachurteilsvoraussetzungen im vorinstanzlichen Verfahren im Übrigen erfüllt waren, kann ein Beschwerdeführer dem Bundesgericht insofern auch Fragen unterbreiten, welche der Regierungsrat mangels Zuständigkeit nicht behandeln konnte, falls sie auf kantonaler Ebene bereits aufgeworfen wurden (vgl. BGE 137 II 177 E. 1.2.3 und 1.3 S. 180 f.; Urteil des Bundesgerichts 1C_713/2020 vom 23. März 2020 E. 2.2; je mit Hinweisen).</w:t>
      </w:r>
    </w:p>
    <w:p>
      <w:r>
        <w:rPr>
          <w:b/>
        </w:rPr>
        <w:t>E. 2.4</w:t>
      </w:r>
    </w:p>
    <w:p>
      <w:r>
        <w:t>Die Stimmberechtigung und damit die Beschwerdelegitimation der verschiedenen Beschwerdeführenden wurde von der jeweiligen Vorinstanz nicht in allen Fällen geprüft. Da auf die Beschwerden aus anderen Gründen nicht einzutreten ist, muss dies nicht vertieft werden. Entsprechendes gilt für die Frage, ob alle Abstimmungsbeschwerden bei der jeweiligen Vorinstanz rechtzeitig erhoben wurden.</w:t>
      </w:r>
    </w:p>
    <w:p>
      <w:r>
        <w:rPr>
          <w:b/>
        </w:rPr>
        <w:t>E. 3.1</w:t>
      </w:r>
    </w:p>
    <w:p>
      <w:r>
        <w:t>Im Verfahren 1C_308/2021 rief der Beschwerdeführer direkt das Bundesgericht an und beanstandet das Verfahren. Dabei macht er geltend, das Bundesgericht habe in Lückenfüllung die unbefriedigende Verfahrensordnung zu korrigieren. Auch der Beschwerdeführer im Verfahren 1C_360/2021 erhebt analoge Rügen.</w:t>
      </w:r>
    </w:p>
    <w:p>
      <w:r>
        <w:rPr>
          <w:b/>
        </w:rPr>
        <w:t>E. 3.2</w:t>
      </w:r>
    </w:p>
    <w:p>
      <w:r>
        <w:t>Gemäss der publizierten und auch den beiden Beschwerdeführern bekannten Rechtsprechung des Bundesgerichts ist der in Art. 77 Abs. 1 BPR vorgesehene Instanzenzug zu wahren, weshalb auf eine direkt beim Bundesgericht eingereichte Beschwerde gestützt auf Art. 88 Abs. 1 lit. b BGG nicht eingetreten werden kann ( BGE 137 II 177 ; vgl. auch BGE 145 I 207 E. 1.1 S. 211). Diese Rechtsprechung fand gerade im vorliegenden Zusammenhang in zwei Fällen erneut Anwendung (Urteile des Bundesgerichts 1C_318/2021 vom 28. Mai 2021 und 1C_334/2021 vom 3. Juni 2021).</w:t>
      </w:r>
    </w:p>
    <w:p>
      <w:r>
        <w:rPr>
          <w:b/>
        </w:rPr>
        <w:t>E. 3.3</w:t>
      </w:r>
    </w:p>
    <w:p>
      <w:r>
        <w:t>Dass der Rechtsweg über die Kantonsregierungen nicht zufriedenstellend erscheint, wenn gesamtschweizerische Abstimmungsunregelmässigkeiten gerügt werden, ist seit längerem bekannt (vgl. BBl 2013 9077, 9098; BGE 136 II 132 E. 2.5.2). Das Bundesgericht hat bisher dennoch daran festgehalten, da sich die verfahrensrechtlichen Unzulänglichkeiten kaum richterrechtlich befriedigend beheben lassen. Das ist vielmehr Sache des Gesetzgebers (vgl. BGE 136 II 132 E. 2.7). Dass dieser bisher nicht entsprechend tätig wurde, kann zwar bedauert werden, ändert an der Rechtslage aber nichts. Es besteht daher kein Anlass, auf die Rechtsprechung zurückzukommen.</w:t>
      </w:r>
    </w:p>
    <w:p>
      <w:r>
        <w:rPr>
          <w:b/>
        </w:rPr>
        <w:t>E. 3.4</w:t>
      </w:r>
    </w:p>
    <w:p>
      <w:r>
        <w:t>Da beide betreffenden Beschwerdeführer auch den Rechtsmittelweg über die jeweiligen Kantonsregierungen beschritten und gegen die entsprechenden Entscheide Beschwerde am Bundesgericht erhoben haben, kann von einer Überweisung ihrer Beschwerden an dieselben abgesehen werden (vgl. für den Beschwerdeführer im Verfahren 1C_360/2021 schon das Urteil des Bundesgerichts 1C_334/2021 vom 3. Juni 2021).</w:t>
      </w:r>
    </w:p>
    <w:p>
      <w:r>
        <w:rPr>
          <w:b/>
        </w:rPr>
        <w:t>E. 4.1</w:t>
      </w:r>
    </w:p>
    <w:p>
      <w:r>
        <w:t>In der Sache rügen die Beschwerdeführenden eine Verletzung von Art. 34 Abs. 2 BV . Diese sei durch Mängel der behördlichen Information sowie verschiedene Unregelmässigkeiten im Vorfeld der Volksabstimmung eingetreten. Im Zentrum der Beanstandungen stehen insbesondere die Abstimmungserläuterungen des Bundesrats, dessen inhaltlich gleich lautende Informationen auf dem Internet sowie Aussagen und Handlungen des Bundesrats bzw. seiner Mitglieder im Vorfeld der angefochtenen Abstimmung. Die gerügten Unregelmässigkeiten seien insgesamt geeignet, den Willen der Stimmberechtigten zu verfälschen.</w:t>
      </w:r>
    </w:p>
    <w:p>
      <w:r>
        <w:rPr>
          <w:b/>
        </w:rPr>
        <w:t>E. 4.2</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damit insbesondere die bundesrätlichen Abstimmungserläuterungen. Von diesem Ausschluss erfasst sind auch Äusserungen einzelner Mitglieder des Bundesrates sowie weiterer Akteure, sofern sie im Wesentlichen den Inhalt der Abstimmungserläuterungen wiedergeben ( BGE 145 I 207 E. 1.5 S. 213 ; 145 I 1 E. 5.1.1 S. 7 ; 138 I 61 E. 7.2 S. 85; 137 II 177 E. 1.2 S. 179; Urteil des Bundesgerichts 1C_713/2020 vom 23. März 2021 E. 4.1, zur Publikation vorgesehen). Eine gesetzliche Ausnahme im Sinne der genannten Verfassungsbestimmung nennen die Beschwerdeführenden nicht, und es ist auch keine solche erkennbar.</w:t>
      </w:r>
    </w:p>
    <w:p>
      <w:r>
        <w:rPr>
          <w:b/>
        </w:rPr>
        <w:t>E. 4.3</w:t>
      </w:r>
    </w:p>
    <w:p>
      <w:r>
        <w:t>Insoweit ist auf die Beschwerden nicht einzutreten.</w:t>
      </w:r>
    </w:p>
    <w:p>
      <w:r>
        <w:rPr>
          <w:b/>
        </w:rPr>
        <w:t>E. 5.1</w:t>
      </w:r>
    </w:p>
    <w:p>
      <w:r>
        <w:t>Die Beschwerdeführerin im Verfahren 1C_352/2021 macht überdies geltend, die allgemeine Informationslage habe keine Art. 34 Abs. 2 BV genügende Meinungsbildung ermöglicht. Auch weitere Beschwerdeschriften enthalten sinngemäss ähnliche Rügen.</w:t>
      </w:r>
    </w:p>
    <w:p>
      <w:r>
        <w:rPr>
          <w:b/>
        </w:rPr>
        <w:t>E. 5.2</w:t>
      </w:r>
    </w:p>
    <w:p>
      <w:r>
        <w:t>Nach der bundesgerichtlichen Rechtsprechung kann lediglich im Ausnahmefall eines nachträglichen, wiedererwägungsweisen Rechtsschutzes auch die Informationslage im Vorfeld einer Volksabstimmung in allgemeiner Weise zum Gegenstand des Verfahrens gemacht werden. Im Rahmen von Abstimmungsbeschwerden nach Art. 77 Abs. 1 lit. b BPR wie den vorliegenden trifft dies hingegen nicht zu (Urteil des Bundesgerichts 1C_713/2020 vom 23. März 2021 E. 4.1, zur Publikation vorgesehen). Soweit die Beschwerdeführenden eine mangelhafte Informationslage im Vorfeld der Volksabstimmung bzw. am Abstimmungssonntag rügen, ist auf die Beschwerden daher ebenfalls nicht einzutreten.</w:t>
      </w:r>
    </w:p>
    <w:p>
      <w:r>
        <w:rPr>
          <w:b/>
        </w:rPr>
        <w:t>E. 6.1</w:t>
      </w:r>
    </w:p>
    <w:p>
      <w:r>
        <w:t>Im Übrigen prüft das Bundesgericht nur solche Rügen, die sich an den Streitgegenstand halten und in der Beschwerde präzise vorgebracht und begründet worden sind (vgl. Art. 106 Abs. 2 BGG ). Auf ungenügend begründete Rügen und bloss allgemein gehaltene Kritik ohne Auseinandersetzung mit dem angefochtenen Entscheid tritt es nicht ein ( BGE 145 I 26 E. 1.3 mit Hinweisen). Die vereinzelten weiteren Rechtsbegehren und Rügen der Beschwerdeführenden gehen über den Streitgegenstand hinaus oder es ist sonst wie nicht ersichtlich bzw. nachvollziehbar, wie sie im Rahmen einer Abstimmungsbeschwerde gemäss Art. 77 Abs. 1 lit. b BPR zulässig sein sollten. Das gilt insbesondere für die im Verfahren 1C_360/2021 gestellten Anträge, die zuständige Instanz des Bundes sei anzuweisen, die Bundesgesetzgebung anzupassen und ein Amtsenthebungsverfahren für Bundesräte einzuführen, sowie für das Feststellungsbegehren im Verfahren 1C_359/2021. Auch insoweit ist auf die Beschwerden daher nicht einzutreten.</w:t>
      </w:r>
    </w:p>
    <w:p>
      <w:r>
        <w:rPr>
          <w:b/>
        </w:rPr>
        <w:t>E. 6.2</w:t>
      </w:r>
    </w:p>
    <w:p>
      <w:r>
        <w:t>Im Verfahren 1C_419/2021 rügen die Beschwerdeführenden, der Regierungsrat hätte jedenfalls ihre Feststellungsbegehren inhaltlich prüfen müssen. Ein diesbezügliches Rechtsschutzinteresse ergebe sich direkt aus der Menschenrechtskonvention. Die Beschwerdeführenden unterbreiten auch dem Bundesgericht entsprechende Feststellungsbegehren. Auf Bundesebene gibt es jedoch keine abstrakte Normenkontrolle (vgl. Art. 190 BV ). Selbst wenn die Konvention, wie die Beschwerdeführenden geltend machen, gewisse Feststellungsinteressen im Zusammenhang mit gesetzgeberischen Akten schützen sollte, ergibt sich daraus noch keine Pflicht der Behörden, diesen auf Bundesebene bereits bei der Behandlung einer Stimmrechtsbeschwerde im Zusammenhang mit einer Abstimmung über einen Erlass Rechnung zu tragen. Soweit eine Stimmrechtsbeschwerde auf Bundesebene zulässig ist, ist sie auf Mängel im Zusammenhang mit der Abstimmung zugeschnitten. Dass damit ein Bundeserlass auch inhaltlich überprüft werden könnte, erscheint systemwidrig und entspricht weder dem geltenden Verfassungsrecht noch der Regelung des Rechtsschutzes zu den politischen Rechten im Bund. Dass dies anders zu beurteilen wäre, legen die Beschwerdeführenden nicht ausreichend und nachvollziehbar dar. Auch auf die Feststellungsbegehren bzw. die damit verbundenen Rügen im Verfahren 1C_419/2021 ist daher nicht einzutreten.</w:t>
      </w:r>
    </w:p>
    <w:p>
      <w:r>
        <w:rPr>
          <w:b/>
        </w:rPr>
        <w:t>E. 7</w:t>
      </w:r>
    </w:p>
    <w:p>
      <w:r>
        <w:t>Insgesamt ist demnach auf die Beschwerden nicht einzutreten. Mit dem vorliegenden, das bundesgerichtliche Verfahren abschliessenden Entscheid werden die vereinzelt gestellten Verfahrensanträge gegenstandslos.</w:t>
      </w:r>
    </w:p>
    <w:p>
      <w:r>
        <w:t>Bei diesem Ausgang des Verfahrens werden die Beschwerdeführenden pro Verfahren zu gleichen Teilen, die Beschwerdeführenden in den Verfahren 1C_359/2021 und 1C_419/2021 jeweils gemeinsam in solidarischer Verbundenheit, kostenpflichtig (vgl. Art. 66 Abs. 1 und 5 BGG ).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