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1C_308/2017 vom 4. Juli 2018</w:t>
      </w:r>
    </w:p>
    <w:p>
      <w:r>
        <w:t>Bundesgericht, 2018-07-04, FR</w:t>
      </w:r>
    </w:p>
    <w:p>
      <w:r>
        <w:rPr>
          <w:b/>
        </w:rPr>
        <w:t xml:space="preserve">Quelle: </w:t>
      </w:r>
      <w:r>
        <w:t>https://mcp.opencaselaw.ch/entscheid/bger_1C_308_2017</w:t>
      </w:r>
    </w:p>
    <w:p>
      <w:r>
        <w:t>FR: TF 1C_308/2017 du 4 juillet 2018</w:t>
      </w:r>
    </w:p>
    <w:p>
      <w:r>
        <w:t>IT: TF 1C_308/2017 del 4 luglio 2018</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Les recourants ont pris part à la procédure de recours devant le Tribunal cantonal. En tant que voisins directs du projet litigieux, les recourants sont particulièrement touchés par l'arrêt attaqué qui confirme l'autorisation de construire un complexe industriel qu'ils tiennent pour contraire à la LAT. Ils peuvent ainsi se prévaloir d'un intérêt personnel et digne de protection à l'annulation de l'arrêt attaqué. Ils ont dès lors qualité pour agir au sens de l' art. 89 al. 1 LTF . Les autres conditions de recevabilité sont au surplus réunies, si bien qu'il convient d'entrer en matière.</w:t>
      </w:r>
    </w:p>
    <w:p>
      <w:r>
        <w:rPr>
          <w:b/>
        </w:rPr>
        <w:t>E. 2</w:t>
      </w:r>
    </w:p>
    <w:p>
      <w:r>
        <w:t>Dans un premier grief, les recourants se plaignent d'un établissement incomplet des faits.</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qui importent pour le jugement de la cause que si ceux-ci ont été établis en violation du droit au sens de l' art. 95 LTF ou de manière manifestement inexacte, c'est-à-dire arbitraire, ce qu'il lui appartient de démontrer par une argumentation répondant aux exigences de l' art. 42 al. 2 LTF , respectivement de l' art. 106 al. 2 LTF ( ATF 137 I 58 consid. 4.1.2 p. 62).</w:t>
      </w:r>
    </w:p>
    <w:p>
      <w:r>
        <w:t>En l'occurrence, les recourants reprochent à la cour cantonale d'avoir omis d'indiquer la teneur de l'art. 2 al. 2 de l'arrêté fédéral instituant des mesures urgentes en matière d'aménagement du territoire du 17 mars 1972 (AFU; RO 1972 653). Ils soutiennent que la cour cantonale n'aurait pas tenu compte de la collocation de l'ancienne parcelle n</w:t>
      </w:r>
    </w:p>
    <w:p>
      <w:r>
        <w:t>o 1644 dans une autre zone de protection au sens de cette disposition dans le cadre de l'examen de la conformité du plan à la LAT, lors de de l'adoption de cette loi fédérale. Or, ces éléments ne relèvent à l'évidence pas de l'établissement des faits; le grief peut en conséquence et d'emblée être écarté. En outre, comme cela sera exposé ci-après, la question de la collocation de la parcelle n</w:t>
      </w:r>
    </w:p>
    <w:p>
      <w:r>
        <w:t>o 1644, avant l'adoption du PAZ (et le règlement sur le plan d'extension et la police des constructions [RPEPC]) et l'entrée en vigueur de la LAT, le 1</w:t>
      </w:r>
    </w:p>
    <w:p>
      <w:r>
        <w:t>er janvier 1980 (RO 1979 1573), sont sans influence sur le sort du présent litige.</w:t>
      </w:r>
    </w:p>
    <w:p>
      <w:r>
        <w:rPr>
          <w:b/>
        </w:rPr>
        <w:t>E. 3</w:t>
      </w:r>
    </w:p>
    <w:p>
      <w:r>
        <w:t>Matériellement, les recourants font essentiellement valoir que les conditions d'un contrôle incident de la planification communale, au sens de l' art. 21 al. 2 LAT , seraient réunies. Selon eux, le PAZ approuvé par le Conseil d'Etat, le 3 septembre 1980, serait non seulement contraire à la LAT dans sa version originelle, mais entrerait également en contradiction avec le nouvel art. 15 LAT , en force depuis le 1</w:t>
      </w:r>
    </w:p>
    <w:p>
      <w:r>
        <w:t>er mai 2014.</w:t>
      </w:r>
    </w:p>
    <w:p>
      <w:r>
        <w:rPr>
          <w:b/>
        </w:rPr>
        <w:t>E. 3.1</w:t>
      </w:r>
    </w:p>
    <w:p>
      <w:r>
        <w:t>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 art. 21 al. 2 LAT sont réunies (cf. ATF 121 II 317 consid. 12c p. 346). Aux termes de l' art. 21 al. 2 LAT , lorsque les circonstances se sont sensiblement modifiées, les plans d'affectation feront l'objet des adaptations nécessaires; une modification sensible des circonstances au sens de l' art. 21 al. 2 LAT peut être purement factuelle, mais également d'ordre juridique, comme une modification législative (cf. ATF 144 II 41 consid. 5.1 p. 44 s. et les références citées; 127 I 103 consid. 6b p. 105).</w:t>
      </w:r>
    </w:p>
    <w:p>
      <w:r>
        <w:t>L' art. 21 al. 2 LAT prévoit un examen en deux étapes: la première déterminera si les circonstances se sont sensiblement modifiées au point de justifier un réexamen du plan: si le besoin s'en fait réellement sentir, il sera adapté, dans une deuxième étape (cf. ATF 144 II 41 consid. 5.1 p. 44 s.; 140 II 25 consid. 3 p. 29 et la référence à Peter Karlen, Stabilität und Wandel in der Zonenplanung, PBG-aktuell 4/1994 p. 8 ss; arrêts 1C_40/2016 du 5 octobre 2016 consid. 3.1; 1C_307/2014 du 7 avril 2015 consid. 3.1).</w:t>
      </w:r>
    </w:p>
    <w:p>
      <w:r>
        <w:rPr>
          <w:b/>
        </w:rPr>
        <w:t>E. 3.2</w:t>
      </w:r>
    </w:p>
    <w:p>
      <w:r>
        <w:t>Comme évoqué précédemment, les recourants soutiennent, en premier lieu, que le PAZ n'aurait pas fait l'objet d'une approbation conforme à l' art. 35 LAT , perdant ainsi sa validité le 1</w:t>
      </w:r>
    </w:p>
    <w:p>
      <w:r>
        <w:t>er janvier 1988; il s'imposerait partant d'examiner sa conformité matérielle à la LAT, dans sa version entrée en vigueur le 1</w:t>
      </w:r>
    </w:p>
    <w:p>
      <w:r>
        <w:t>er janvier 1980. A cet égard, ils soutiennent que le Tribunal cantonal aurait à tort reconnu la compatibilité de ce plan, lors de son adoption, avec l'ancienne mouture de la loi.</w:t>
      </w:r>
    </w:p>
    <w:p>
      <w:r>
        <w:rPr>
          <w:b/>
        </w:rPr>
        <w:t>E. 3.2.1</w:t>
      </w:r>
    </w:p>
    <w:p>
      <w:r>
        <w:t>Bien que le Tribunal cantonal ait, aux termes de son arrêt, reconnu la conformité du plan à la loi ancienne, cet aspect du différend peut demeurer indécis. En effet, dans la mesure où - comme cela sera exposé ci-après - les conditions de l'ouverture d'un contrôle incident (première étape) se trouvent en l'occurrence réalisées, le point central pour résoudre la présente espèce se limite à la question de savoir si la planification sur laquelle repose le projet litigieux, plus particulièrement la zone d'activité sur laquelle celui-ci doit prendre place, répond à la situation et aux besoins actuels.</w:t>
      </w:r>
    </w:p>
    <w:p>
      <w:r>
        <w:t>En effet, contrairement à ce qu'a jugé la cour cantonale, l'entrée en vigueur de la nouvelle LAT, en particulier de son art. 15 al. 2 - commandant expressément la réduction des zones à bâtir - constitue une modification législative des circonstances susceptible d'ouvrir la voie à un contrôle préjudiciel de la planification en cause (cf. ATF 144 II 41 consid. 5 ss, en particulier consid. 5.2 p. 45 s.). On ne saurait dès lors exclure d'emblée la mise en oeuvre d'un tel contrôle au motif - comme l'a estimé l'instance précédente - que la novelle ne ferait que codifier des principes qui ressortent déjà de la jurisprudence du Tribunal fédéral. Cela étant, pour que le changement entraîné par l'entrée en vigueur des nouvelles dispositions de la LAT puisse être qualifié de sensible au sens de l' art. 21 al. 2 LAT , il faut que s'y ajoutent d'autres circonstances parmi lesquelles se trouvent notamment la localisation de la parcelle par rapport à la zone à bâtir existante, le niveau d'équipement de la parcelle et la date d'entrée en vigueur du plan d'affectation (cf. ATF 144 II 41 consid. 5 ss, en particulier consid. 5.2 p. 45 s.).</w:t>
      </w:r>
    </w:p>
    <w:p>
      <w:r>
        <w:rPr>
          <w:b/>
        </w:rPr>
        <w:t>E. 3.2.2</w:t>
      </w:r>
    </w:p>
    <w:p>
      <w:r>
        <w:t>Or, dans le cas particulier, à la novelle du 15 juin 2012 s'ajoute le laps de temps écoulé depuis l'approbation du plan en 1980, qui dépasse largement l'horizon des 15 ans pour la détermination des besoins en zones constructibles, prévu tant par l'ancien art. 15 let. b LAT , que par la législation actuelle ( art. 15 al. 1 LAT ). En outre, la localisation de la zone industrielle, excentrée par rapport au village, au sein d'une vaste zone agricole et viticole, n'est guère compréhensible, à tout le moins lors de la première étape de l'examen de la planification, au regard notamment du principe cardinal de la séparation du territoire bâti et non bâti (au sujet de ce principe, cf. arrêt 1C_482/2017 du 26 février 2018 consid. 2.2) et de l'obligation de réduire les zones à bâtir surdimensionnées instaurée par la nouvelle LAT ( art. 15 al. 2 LAT ). Par ailleurs, comme cela ressort également de l'arrêt attaqué, la Commune de Concise a été inscrite en tant que village d'importance nationale à protéger, lors de la révision du 25 février 2009 de l'Ordonnance du 9 septembre 1981 concernant l'ISOS (OISOS; RS 451.12), entrée en vigueur le 1</w:t>
      </w:r>
    </w:p>
    <w:p>
      <w:r>
        <w:t>er avril 2009 (RO 2009 1015 et 1018); il s'agit également d'une circonstance étrangère à la situation ayant prévalu lors de l'adoption du PAZ communal. Cette contrainte nouvelle suscite ainsi également un doute quant à l'intégration de bâtiments industriels du point de vue de la protection du patrimoine, du moins à ce stade de la procédure.</w:t>
      </w:r>
    </w:p>
    <w:p>
      <w:r>
        <w:t>Au regard du cumul rare d'éléments susceptibles de justifier une modification de la planification, le Tribunal cantonal ne pouvait faire l'économie de l'examen des circonstances exigé par l' art. 21 al. 2 LAT , dans sa deuxième étape, sous peine de violer le droit fédéral. Les circonstances qui précèdent commandent en effet de procéder préjudiciellement à l'analyse de la conformité du plan avec la situation actuelle; que cette parcelle soit maintenue en zone industrielle par le PAZ en l'état de sa procédure de révision - comme l'allèguent en dernier recours les constructeurs - n'y change rien, ce fait nouveau étant quoi qu'il en soit irrecevable ( art. 99 al. 1 LTF ). Il convient par conséquent, pour ce motif, de renvoyer la cause au Tribunal cantonal pour qu'il opère une pesée des intérêts au sens l' art. 21 al. 2 LAT (deuxième étape) et réponde, ce faisant, à la question de savoir si le permis de construire en cause doit ou non être confirmé. Il s'agira en particulier de déterminer si, compte tenu des exigences de réduction des zones à bâtir et de développement vers l'intérieur, concrétisés par la nouvelle LAT, ainsi que du principe de la séparation du territoire construit et non construit, cette parcelle doit être rendue à la zone agricole, en raison, spécialement, de ses dimensions modestes et de sa situation pour le moins incongrue, au sein d'une vaste zone viticole. A ce propos, il convient de préciser que le maintien, respectivement le besoin sur lequel pourrait reposer la zone industrielle litigieuse, ne saurait être déduit de la seule identification de la Commune de Concise comme centre local par le Plan directeur cantonal, comme le retient le Tribunal cantonal (PDCn, 4ème adaptation, approuvé par le Conseil fédéral le 31 janvier 2018, p. 115). A l'inverse, le surdimensionnement mis en évidence par le bilan du 29 juin 2015 établi par le SDT, sur lequel insistent les recourants, est à lui seul insuffisant pour exclure cette parcelle de la zone constructible. Les besoins en zones industrielles doivent en effet être établis sur la base de critères différents de ceux prévalant en matière de zone d'habitation: pour mettre à disposition des surfaces et des locaux demandés par l'économie, il faut en particulier faire appel à des critères qualitatifs et tenir compte d'une vue d'ensemble régionale (cf. Directives techniques sur les zones à bâtir, approuvées par le DETEC le 17 mars 2014, ch. 4 ss p. 10 ss [disponible sur le site www.are.admin.ch, consulté le 11 juin 2018]; sur le plan cantonal, cf. PDCn 3ème adaptation, mesure D12 p. 200 ss et PDCn 4ème adaptation, mesure D12 p. 208 ss). La nécessité de préserver les lieux d'habitations des atteintes nuisibles ou incommodantes ( art. 3 al. 3 let. b LAT ) doit également être considérée s'agissant de la délimitation de telles zones, comme l'a, à juste titre, rappelé la cour cantonale. Sur le plan de l'équipement, la proximité d'une route cantonale permettant de desservir la zone devra également être considérée. Enfin, dans la pesée des intérêts à opérer, il conviendra aussi et notamment de prendre en compte l'ISOS - point d'ailleurs déjà abordé par l'arrêt attaqué -, dans lequel figure la commune. A ce propos, si tant est que le maintien de la zone industrielle doive être confirmé, un examen soigné des volumétries du projet litigieux devra être réalisé, compte tenu de son implantation dans l'échappée dans l'environnement V, de catégorie "ab" ("a" signifiant "partie indispensable pour le site" et la catégorie "b" signifiant "partie sensible pour l'image du site") et un objectif de sauvegarde "a", qui préconise, en substance, la sauvegarde de l'état existant (cf. Explications relatives à l'ISOS, octobre 2011 et fiche ISOS de la Commune de Concise, disponibles sur le site..., consultées le 12 juin 2018).</w:t>
      </w:r>
    </w:p>
    <w:p>
      <w:r>
        <w:rPr>
          <w:b/>
        </w:rPr>
        <w:t>E. 4</w:t>
      </w:r>
    </w:p>
    <w:p>
      <w:r>
        <w:t>Les considérants qui précèdent conduisent partant à l'admission du recours dans la mesure de sa recevabilité. L'arrêt attaqué est annulé et la cause renvoyée à l'instance précédente pour nouvelle instruction et décision dans le sens des considérants. Les recourants obtenant gain de cause, les frais de justice relatifs à la procédure fédérale seront entièrement mis à la charge des intimés ( art. 66 al. 1 LTF ); la Commune de Concise en est en revanche exemptée ( art. 66 al. 4 LTF ). Pour le même motif, une pleine indemnité de dépens est allouée aux recourants, qui ont procédé avec l'assistance d'un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