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307/2016 vom 2. August 2016</w:t>
      </w:r>
    </w:p>
    <w:p>
      <w:r>
        <w:t>Bundesgericht, 2016-08-02, DE</w:t>
      </w:r>
    </w:p>
    <w:p>
      <w:r>
        <w:rPr>
          <w:b/>
        </w:rPr>
        <w:t xml:space="preserve">Quelle: </w:t>
      </w:r>
      <w:r>
        <w:t>https://mcp.opencaselaw.ch/entscheid/bger_1C_307_2016</w:t>
      </w:r>
    </w:p>
    <w:p>
      <w:r>
        <w:t>FR: TF 1C 307/2016 du 2 août 2016</w:t>
      </w:r>
    </w:p>
    <w:p>
      <w:r>
        <w:t>IT: TF 1C 307/2016 del 2 agosto 2016</w:t>
      </w:r>
    </w:p>
    <w:p>
      <w:pPr>
        <w:pStyle w:val="Heading2"/>
      </w:pPr>
      <w:r>
        <w:t>Regeste</w:t>
      </w:r>
    </w:p>
    <w:p>
      <w:r>
        <w:t>Internationale Rechtshilfe in Strafsachen an Deutschland; Herausgabe von Beweismitteln | Rechtshilfe und Auslieferung</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Beschlagnahme und Herausgabe von Gegenständen sowie eine Übermittlung von Informationen aus dem Geheimbereich und damit um ein Sachgebiet, bei dem die Beschwerde nach Art. 84 Abs. 1 BGG insoweit möglich ist. Weiter ist erforderlich, dass es sich um einen besonders bedeutenden Fall handelt. Art. 84 BGG bezweckt die wirksame Begrenzung des Zugangs zum Bundesgericht im Bereich der internationalen Rechtshilfe in Strafsachen ( BGE 134 IV 156 E. 1.3.1 S. 160 mit Hinweisen). Ein besonders bedeutender Fall ist mit Zurückhaltung anzunehmen ( BGE 136 IV 139 E. 2.4 S. 144 mit Hinweis). Bei der Beantwortung der Frage, ob ein besonders bedeutender Fall gegeben ist, steht dem Bundesgericht ein weiter Ermessensspielraum zu ( BGE 134 IV 156 E. 1.3.1 S. 160 mit Hinweis).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Der Beschwerdeführer geht davon aus, es liege ein besonders bedeutender Fall vor, weil die Vorinstanz die Verjährung und den Abschluss des Strafverfahrens gegen den Haupttäter nicht berücksichtigt habe und weil das Rechtshilfeersuchen einer unzulässigen Beweisausforschung gleichkomme. Konkret macht er geltend, sowohl in Deutschland als auch in der Schweiz sei die Verjährung eingetreten. In diesem Zusammenhang bringt er zudem vor, der Haupttäter sei in Deutschland von den Vorwürfen der Geldwäscherei und der Bestechlichkeit freigesprochen worden. Gemäss bundesgerichtlicher Rechtsprechung kann jedoch ein Vorbringen, wonach einem Rechtshilfeersuchen aufgrund von Entscheiden im ersuchenden Staat die Grundlage entzogen worden ist, nicht berücksichtigt werden: Solange das Rechtshilfeersuchen aufrecht erhalten wird, ist es zu vollziehen (Urteil 1C_640/2013 vom 25. Juli 2013 E. 1 mit Hinweisen). Hinsichtlich der Frage der Verjährung hat bereits das Bundesstrafgericht mit Verweis auf die bundesgerichtliche Rechtsprechung dargelegt, dass die Verjährung im Rechtshilfeverkehr zwischen Vertragsstaaten des Europäischen Übereinkommens vom 20. April 1959 über die Rechtshilfe in Strafsachen (SR 0.351.1) nicht zu prüfen ist (angefochtener Entscheid, E. 5; BGE 136 IV 4 E. 6.3 S. 11 mit Hinweisen). Darauf kann verwiesen werden. Zum Vorwurf der Beweisausforschung legte das Bundesstrafgericht dar, die ersuchende Behörde habe für jedes Stichwort, nach dem die Daten des Netbooks untersucht worden seien, dargelegt, in welchem Zusammenhang es zum laufenden Verfahren stehe. Der Beschwerdeführer habe es unterlassen, konkret aufzuzeigen, inwiefern der Rahmen des Ersuchens gesprengt worden sei oder das Interesse für das ausländische Verfahren fehle. Auch in seiner Beschwerde ans Bundesgericht äussert der Beschwerdeführer nur pauschale Kritik. Insbesondere ist nicht ersichtlich, inwiefern Dateien, die ausserhalb des Zeitraums von Ende 2007 bis Ende April 2008 erstellt wurden, a priori irrelevant sein sollten. Nicht hinreichend ist auch der Hinweis, ein gewisses Stichwort hätte zu viele Treffer erzeugt. Es obliegt jedoch dem Betroffenen, schon im Rechtshilfeverfahren gegenüber der ausführenden Behörde konkret darzulegen, welche einzelnen Aktenstücke (bzw. welche Passagen daraus) für die Strafuntersuchung offensichtlich entbehrlich seien, und diese Auffassung auch zu begründen (vgl. BGE 130 II 14 E. 4.3 S. 16 f.; 122 II 367 E. 2d S. 372, je mit Hinweisen). Die vom Beschwerdeführer vorgetragenen Gründe rechtfertigen es mithin nicht, den vorliegenden Fall als besonders bedeutend einzustufen. Die Beschwerde ist somit unzulässig.</w:t>
      </w:r>
    </w:p>
    <w:p>
      <w:r>
        <w:rPr>
          <w:b/>
        </w:rPr>
        <w:t>E. 2</w:t>
      </w:r>
    </w:p>
    <w:p>
      <w:r>
        <w:t>Auf die Beschwerde ist nicht einzutreten.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