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1C_305/2012 vom 26. Februar 2013</w:t>
      </w:r>
    </w:p>
    <w:p>
      <w:r>
        <w:t>Bundesgericht, 2013-02-26, FR</w:t>
      </w:r>
    </w:p>
    <w:p>
      <w:r>
        <w:rPr>
          <w:b/>
        </w:rPr>
        <w:t xml:space="preserve">Quelle: </w:t>
      </w:r>
      <w:r>
        <w:t>https://mcp.opencaselaw.ch/entscheid/bger_1C_305_2012</w:t>
      </w:r>
    </w:p>
    <w:p>
      <w:r>
        <w:t>FR: TF 1C_305/2012 du 26 février 2013</w:t>
      </w:r>
    </w:p>
    <w:p>
      <w:r>
        <w:t>IT: TF 1C_305/2012 del 26 febbraio 2013</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La qualité pour agir des deux citoyens genevois est ainsi indiscutable. Elle peut aussi être reconnue à l'ASLOCA, en tant que personne morale qui a lancé l'initiative ( ATF 130 I 290 consid. 1.3 p. 292 et les arrêts cités).</w:t>
      </w:r>
    </w:p>
    <w:p>
      <w:r>
        <w:rPr>
          <w:b/>
        </w:rPr>
        <w:t>E. 1.3</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Pour satisfaire ces exigences, la partie recourante doit discuter les motifs de la décision entreprise et indiquer précisément en quoi elle estime que l'autorité précédente a méconnu le droit ( ATF 133 II 249 consid. 1.4.2 p. 254).</w:t>
      </w:r>
    </w:p>
    <w:p>
      <w:r>
        <w:t>Les recourants ont pris une conclusion subsidiaire au terme de l'écriture intitulée "ajout de la 2ème liste de corrections du 16 juin 2012" et l'ont formulée comme suit: "annuler d'office partiellement nulle, le cas échéant, l'article 63 alinéa 3 de la constitution du canton de Genève, par une partie non conforme au droit, tout particulièrement le droit fédéral, en application de l'initiative IN 148" (sic). Incompréhensible, cette conclusion doit être déclarée irrecevable.</w:t>
      </w:r>
    </w:p>
    <w:p>
      <w:r>
        <w:rPr>
          <w:b/>
        </w:rPr>
        <w:t>E. 2</w:t>
      </w:r>
    </w:p>
    <w:p>
      <w:r>
        <w:t>Les recourants reprochent au Grand Conseil genevois d'avoir invalidé l'initiative IN 148 en considérant à tort qu'elle violait l'unité de la matière. Il s'agit d'une initiative législative rédigée de toutes pièces au sens de l' art. 65B Cst./GE .</w:t>
      </w:r>
    </w:p>
    <w:p>
      <w:r>
        <w:rPr>
          <w:b/>
        </w:rPr>
        <w:t>E. 2.1</w:t>
      </w:r>
    </w:p>
    <w:p>
      <w:r>
        <w:t>L'exigence d'unité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 ATF 137 I 200 consid. 2.2 p. 203; 130 I 185 consid. 3 p. 195 et les arrêts cités).</w:t>
      </w:r>
    </w:p>
    <w:p>
      <w:r>
        <w:t>Ce principe est rappelé à l' art. 66 al. 2 Cst./GE , selon lequel il doit exister un "rapport intrinsèque" entre les diverses parties d'une initiative.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aux citoyens d'exprimer librement leur véritable volonté ( ATF 130 I 185 consid. 3 p. 195 et les arrêts cités).</w:t>
      </w:r>
    </w:p>
    <w:p>
      <w:r>
        <w:t>La portée du principe de l'unité de la matière est en outre différente selon les domaines. Ainsi, les exigences sont plus strictes pour les projets issus d'une initiative populaire que pour ceux proposés par l'autorité: en effet, la règle veut aussi empêcher que les auteurs de l'initiative puissent réunir des partisans de réformes différentes et atteindre ainsi plus aisément le nombre de signatures requis, en risquant cependant de donner un reflet inexact de l'opinion populaire ( ATF 123 I 63 consid. 4b p. 72 et les arrêts cités; dans certaines circonstances, on pourrait aussi admettre que la réunion d'éléments hétérogènes risque de rendre plus difficile la récolte des signatures, les motifs de désaccord étant plus nombreux: cf. Andreas Auer, Les droits politiques dans les cantons suisses, 1978, p. 127; Luzian Odermatt, Ungültigkeiterklärung von Volksinitiativen, PJA 1996 p. 712). Une autre distinction peut être faite: l'exigence d'unité de la matière est plus contraignante à l'égard d'une initiative rédigée de toutes pièces que pour une initiative non formulée: cette dernière contient une proposition générale qu'il appartiendra encore au législateur de concrétiser ( ATF 130 I 185 consid. 3.1 p. 195 et les arrêts cités).</w:t>
      </w:r>
    </w:p>
    <w:p>
      <w:r>
        <w:rPr>
          <w:b/>
        </w:rPr>
        <w:t>E. 2.2</w:t>
      </w:r>
    </w:p>
    <w:p>
      <w:r>
        <w:t>L'unité de la matière est une notion relative qui doit être appréciée en fonction des circonstances concrètes ( ATF 137 I 200 consid. 2.2 p. 203).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128 I 190 consid. 3.2). L'unité de la matière fait ainsi défaut lorsque l'initiative présente en réalité un programme politique général ( ATF 123 I 63 consid. 5 p. 73/74), lorsqu'il n'y a pas de rapport suffisamment étroit entre les différentes propositions, lorsque celles-ci sont réunies de manière artificielle ou subjective ( ATF 123 I 63 consid. 4d p. 73 et consid. 5 p. 73/74 ainsi que la doctrine citée), lorsqu'il n'y a pas d'idée centrale mais deux projets de nature totalement distincte ( ATF 129 I 381 consid. 2.4) ou encore lorsqu'il y a une juxtaposition plutôt qu'une complémentarité de moyens ( ATF 130 I 185 consid. 3.6).</w:t>
      </w:r>
    </w:p>
    <w:p>
      <w:r>
        <w:rPr>
          <w:b/>
        </w:rPr>
        <w:t>E. 2.3</w:t>
      </w:r>
    </w:p>
    <w:p>
      <w:r>
        <w:t>En l'espèce, l'IN 148 est une initiative rédigée de toutes pièces, ce qui justifie que l'on se montre plus sévère au regard de l'exigence d'unité de la matière que s'il s'agissait d'une initiative présentée sous forme de voeu. L'initiative frappe d'emblée par la longueur et la densité de son texte qui comprend une dizaine d'articles et qui porte sur la modification et/ou l'amendement de quatre textes législatifs. L'exposé des motifs présente quant à lui dix buts de l'initiative. Dans le détail, les diverses mesures proposées ont été résumées par le Conseil d'Etat comme suit:</w:t>
      </w:r>
    </w:p>
    <w:p>
      <w:r>
        <w:t>- inaliénabilité des terrains et immeubles propriété des organismes publics, sauf exception (art. 1A LGL);</w:t>
      </w:r>
    </w:p>
    <w:p>
      <w:r>
        <w:t>- suppression de la possibilité d'échanger certains terrains acquis en vue du droit de préemption ou d'expropriation contre d'autres terrains situés en zone de développement (abrogation de l'art. 9 al. 3 LGL, par effet de l' art. 49 let . c LGL);</w:t>
      </w:r>
    </w:p>
    <w:p>
      <w:r>
        <w:t>- taux de répartition de surfaces de plancher affectées à du logement, selon les zones d'affectation (art. 9A LGL);</w:t>
      </w:r>
    </w:p>
    <w:p>
      <w:r>
        <w:t>- taux de répartition entre logements locatifs et logements en propriété, selon les zones d'affectation (art. 9B LGL);</w:t>
      </w:r>
    </w:p>
    <w:p>
      <w:r>
        <w:t>- fixation d'un montant maximal de loyer pour certains appartements construits en zone de développement (art. 9C al. 2 LGL);</w:t>
      </w:r>
    </w:p>
    <w:p>
      <w:r>
        <w:t>- fixation d'une surface brute de plancher des appartements de 120m2, exceptionnellement 140m2 (art. 9C al. 3 LGL);</w:t>
      </w:r>
    </w:p>
    <w:p>
      <w:r>
        <w:t>- fixation de coefficients de 1,4 à 2,5 de taux d'utilisation du sol en 3e zone (art. 9C al. 3 LGL);</w:t>
      </w:r>
    </w:p>
    <w:p>
      <w:r>
        <w:t>- fixation de gabarits des immeubles en 3e zone, soit entre 4 et 10 niveaux (art. 9C al. 3 in fine LGL);</w:t>
      </w:r>
    </w:p>
    <w:p>
      <w:r>
        <w:t>- fixation d'un prix du terrain maximum de 700.- le m2 en zone de développement (art. 9C al. 4 LGL);</w:t>
      </w:r>
    </w:p>
    <w:p>
      <w:r>
        <w:t>- déclassement de terrains agricoles (art. 9D LGL), avec procédure et prix, y compris déclaration d'utilité publique pour la préemption et l'expropriation;</w:t>
      </w:r>
    </w:p>
    <w:p>
      <w:r>
        <w:t>- acquisition des terrains agricoles déclassés par l'Etat, avec fixation du prix (art. 9D al. 3 LGL);</w:t>
      </w:r>
    </w:p>
    <w:p>
      <w:r>
        <w:t>- régime d'«autorisation compensatoire» pour des autorisations de construire accordées à des bureaux ou à des appartements en propriété par étage (art. 9E al. 1 LGL);</w:t>
      </w:r>
    </w:p>
    <w:p>
      <w:r>
        <w:t>- règles sur le contenu des publications dans la Feuille d'avis officielle s'agissant des autorisations de construire (art. 9E al. 2 LGL);</w:t>
      </w:r>
    </w:p>
    <w:p>
      <w:r>
        <w:t>- destinataire du rapport d'activité de la Fondation pour la promotion du logement bon marché et de l'habitat coopératif (FPLC) (art. 10 al. 6 LGL);</w:t>
      </w:r>
    </w:p>
    <w:p>
      <w:r>
        <w:t>- augmentation à 90 millions de francs au minimum du montant des prestations annuelles accordées sur la base de la LGL (art. 37 al. 2 LGL);</w:t>
      </w:r>
    </w:p>
    <w:p>
      <w:r>
        <w:t>- contrôle des loyers pendant 20 ans des appartements locatifs construits en zones de développement (art. 45A al. 1 LGL);</w:t>
      </w:r>
    </w:p>
    <w:p>
      <w:r>
        <w:t>- prolongation de 20 à 40 ans du contrôle des loyers HLM et HM, en cas de pénurie de logements (art. 45A al. 2 LGL);</w:t>
      </w:r>
    </w:p>
    <w:p>
      <w:r>
        <w:t>- suppression de la possibilité de renoncer à l'établissement d'un plan localisé de quartier pour des projets de constructions conformes au 1er prix d'un concours d'urbanisme ou d'architecture (abrogation de l' art. 2, al. 2 let . d et e LGZD);</w:t>
      </w:r>
    </w:p>
    <w:p>
      <w:r>
        <w:t>- suppression de l'exigence d'un concept énergétique territorial dans le contenu d'un plan localisé de quartier (abrogation de l'art. 3 al. 1 lettre f LExt);</w:t>
      </w:r>
    </w:p>
    <w:p>
      <w:r>
        <w:t>- règles de publication des acquisitions de propriété immobilière dans la Feuille d'avis officielle (art. 187A LaCC).</w:t>
      </w:r>
    </w:p>
    <w:p>
      <w:r>
        <w:rPr>
          <w:b/>
        </w:rPr>
        <w:t>E. 2.4</w:t>
      </w:r>
    </w:p>
    <w:p>
      <w:r>
        <w:t>Les recourants avancent que l'unité de la matière est "indéniable", au motif que l'initiative comporte uniquement des modifications de la LGL. On peut certes admettre que l'initiative poursuit un but général unique, soit la promotion de la construction de nouveaux logements, en donnant la priorité aux logements locatifs. En revanche, les nombreux moyens mis en oeuvre, exposés de manière complexe, ne présentent pas d'unité suffisante; les mesures proposées visent ainsi l'aménagement du territoire (inaliénabilité des terrains et immeubles propriété des organismes publics, taux de répartition entre logements locatifs et logements en propriété, fixation de coefficients de 1,4 à 2,5 de taux d'utilisation du sol en 3ème zone, suppression de la possibilité de renoncer à un plan localisé de quartier pour des projets de construction conformes au 1er prix d'un concours d'urbanisme), le droit des constructions (taux de répartition de surfaces de plancher affectées à du logement, fixation d'une surface brute de plancher des appartement de 120 m2 exceptionnellement de 140 m2), le contrôle de certains loyers, le droit de la propriété privée (fixation d'un prix du terrain maximum de 700 francs le m2 en zone de développement), les prestations financières accordées sur la base de la LGL (augmentation à 90 millions de francs au minimum du montant des prestations annuelles accordées), le concept énergétique et la publication des transactions immobilières. Ainsi, le contrôle des loyers est sans relation avec le déclassement de la zone agricole. La fixation d'un nombre d'étages (entre 4 et 10) n'a pas de lien direct avec les règles de publication des acquisitions de propriété immobilière dans la Feuille d'avis officielle. Le taux de répartition entre logements locatifs et logements en propriété n'a pas non plus de rapport étroit avec l'augmentation à 90 millions de francs au minimum du montant des prestations annuelles accordées sur la base de la LGL. La suppression de l'exigence d'un concept énergétique territorial dans le contenu d'un plan localisé de quartier n'a pas de connexité avec le contrôle des loyers pendant 20 ans des appartements locatifs construits en zones de développement.</w:t>
      </w:r>
    </w:p>
    <w:p>
      <w:r>
        <w:t>Si ces mesures ont un lien avec la construction de logements et l'utilisation des bâtiments pour le logement, le nombre de modifications proposées est très important. Un tel foisonnement de propositions comporte inévitablement le risque que le citoyen, favorable par hypothèse au but poursuivi par l'initiative, s'oppose à l'une ou l'autre des mesures proposées. Rien ne permet par exemple d'affirmer qu'une personne en principe favorable à la construction de logements accessibles à la majorité de la population soit aussi acquise à la suppression de l'exigence d'un concept énergétique territorial dans le contenu d'un plan localisé de quartier ou encore à la suppression de la possibilité d'échanger certains terrains acquis en vue du droit de préemption ou d'expropriation contre d'autres terrains situés en zone de développement, à la fixation de gabarits entre 4 et 10 niveaux des immeubles en 3ème zone. Or, le principe de l'unité de la matière tend précisément à éviter de tels dilemmes, contraires à la liberté de choix qui doit prévaloir en matière de droits politiques ( ATF 129 I 366 consid. 2.2 p. 370 et les références citées).</w:t>
      </w:r>
    </w:p>
    <w:p>
      <w:r>
        <w:t>Par ailleurs, le seul fait que l'initiative couvre un champ d'intervention plus restreint que celui couvert par la LGL ne permet pas d'avoir un fil conducteur aisément reconnaissable puisque la LGL a elle-même un contenu hétéroclite. De même, il sied de préciser que, contrairement à ce que les recourants allèguent, l'IN 148, qui est une initiative législative rédigée sous forme de projet de loi, ne saurait être comparée à l'initiative législative non formulée "Pour la protection de l'habitat et contre les démolitions abusives" qui a abouti à l'adoption par le parlement genevois de la première LDTR en 1983. S'il est vrai que les exigences relatives à l'unité de la matière sont moins strictes pour les initiatives législatives que pour les initiatives constitutionnelles, les recourants oublient cependant que le principe de l'unité de la matière revêt un sens plus contraignant pour les initiatives rédigées que pour les initiatives conçues en termes généraux.</w:t>
      </w:r>
    </w:p>
    <w:p>
      <w:r>
        <w:t>Il découle de ce qui précède que le contenu de l'initiative IN 148 est particulièrement hétérogène. L'IN 148, sous le couvert d'un objectif général unique, constitue en réalité un catalogue de mesures politiques en matière de logements et d'aménagement du territoire. Les composantes de l'initiative sont si disparates qu'il n'est pas possible de discerner un rapport intrinsèque entre elles, permettant d'aboutir au constat du respect de l'unité de la matière.</w:t>
      </w:r>
    </w:p>
    <w:p>
      <w:r>
        <w:rPr>
          <w:b/>
        </w:rPr>
        <w:t>E. 3</w:t>
      </w:r>
    </w:p>
    <w:p>
      <w:r>
        <w:t>La sanction de la violation du principe de l'unité de la matière est en principe l'annulation, totale ou partielle, de l'initiative. Le droit cantonal peut toutefois prévoir la scission de l'initiative en plusieurs parties, soumises à des votes distincts.</w:t>
      </w:r>
    </w:p>
    <w:p>
      <w:r>
        <w:rPr>
          <w:b/>
        </w:rPr>
        <w:t>E. 3.1</w:t>
      </w:r>
    </w:p>
    <w:p>
      <w:r>
        <w:t>L' art. 66 al. 2 Cst./GE prévoit la scission de l'initiative qui ne respecte pas l'unité de la matière, pour autant que ses différentes parties soient en elles-mêmes valides. Selon la jurisprudence, les auteurs d'une initiative qui ne respecte pas l'unité de la matière ne sauraient exiger une scission, permettant de sauver leur démarche à n'importe quelles conditions.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w:t>
      </w:r>
    </w:p>
    <w:p>
      <w:r>
        <w:t>Dans leur mémoire de recours, les recourants se prévalent de l' art. 66 al. 2 Cst./GE , sans préciser pour autant en quoi pourrait consister une éventuelle scission du texte de l'initiative. Or, il n'appartient pas au Tribunal fédéral de décider d'un mode de scission admissible ( ATF 130 I 185 consid. 4.4; 123 I 63 consid. 6c p. 76). Vu les très nombreuses thématiques que contient l'initiative et l'absence de rapport intrinsèque entre elles, il paraît d'ailleurs difficile de trouver une forme de scission satisfaisante.</w:t>
      </w:r>
    </w:p>
    <w:p>
      <w:r>
        <w:rPr>
          <w:b/>
        </w:rPr>
        <w:t>E. 3.2</w:t>
      </w:r>
    </w:p>
    <w:p>
      <w:r>
        <w:t>Sans le formuler clairement, les recourants demandent subsidiairement que l'initiative soit soumise à votation sans les modifications prévues aux art. 1A, 9A, 9B, 9C al. 2 et al. 3, 9D, 9E al. 1 LGL et à l'art. 4A al. 2 et 3 LGZD, déclarées non conformes au droit supérieur dans le rapport du Conseil d'Etat du 30 novembre 2011.</w:t>
      </w:r>
    </w:p>
    <w:p>
      <w:r>
        <w:rPr>
          <w:b/>
        </w:rPr>
        <w:t>E. 3.2.1</w:t>
      </w:r>
    </w:p>
    <w:p>
      <w:r>
        <w:t>L'invalidation partielle d'une initiative découle du principe selon lequel une initiative doit être interprétée dans le sens le plus favorable aux initiants, selon l'adage "in dubio pro populo".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Tel est le cas lorsque la partie restante de l'initiative forme un tout homogène qui suit la direction donnée par l'initiative complète, de sorte que l'initiative ne soit pas dépouillée de son contenu essentiel ( ATF 125 I 21 consid. 7b p. 44).</w:t>
      </w:r>
    </w:p>
    <w:p>
      <w:r>
        <w:rPr>
          <w:b/>
        </w:rPr>
        <w:t>E. 3.2.2</w:t>
      </w:r>
    </w:p>
    <w:p>
      <w:r>
        <w:t>En l'espèce, même sans les dispositions précitées, les nombreuses matières qui restent (la disposition sur le but de la loi, celle relative à la transmission des rapports de la Fondation pour la promotion du logement bon marché et de l'habitat coopératif, celle relative aux incitations financières et celle en matière de publication des transactions immobilières) ne présentent pas de liens suffisamment étroits entre elles et ne permettent pas de respecter le principe de l'unité de la matière. Une annulation partielle de l'initiative litigieuse n'est dès lors pas possible.</w:t>
      </w:r>
    </w:p>
    <w:p>
      <w:r>
        <w:t>Par conséquent, c'est à juste titre que le Grand Conseil a procédé à une invalidation totale de l'initiative IN 148.</w:t>
      </w:r>
    </w:p>
    <w:p>
      <w:r>
        <w:rPr>
          <w:b/>
        </w:rPr>
        <w:t>E. 4</w:t>
      </w:r>
    </w:p>
    <w:p>
      <w:r>
        <w:t>Il s'ensuit que l'invalidation totale décidée par le Grand Conseil est conforme au droit constitutionnel, fédéral et cantonal. Il n'y a pas, cela étant, à examiner les autres arguments des recourants, relatifs à la clarté de l'initiative et à sa conformité au droit supérieur.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