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1C_305/2011 vom 19. Juli 2011</w:t>
      </w:r>
    </w:p>
    <w:p>
      <w:r>
        <w:t>Bundesgericht, 2011-07-19, FR</w:t>
      </w:r>
    </w:p>
    <w:p>
      <w:r>
        <w:rPr>
          <w:b/>
        </w:rPr>
        <w:t xml:space="preserve">Quelle: </w:t>
      </w:r>
      <w:r>
        <w:t>https://mcp.opencaselaw.ch/entscheid/bger_1C_305_2011</w:t>
      </w:r>
    </w:p>
    <w:p>
      <w:r>
        <w:t>FR: TF 1C_305/2011 du 19 juillet 2011</w:t>
      </w:r>
    </w:p>
    <w:p>
      <w:r>
        <w:t>IT: TF 1C_305/2011 del 19 luglio 2011</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limitée d'un compte déterminé, le cas ne revêt en soi aucune importance particulière.</w:t>
      </w:r>
    </w:p>
    <w:p>
      <w:r>
        <w:rPr>
          <w:b/>
        </w:rPr>
        <w:t>E. 1.3</w:t>
      </w:r>
    </w:p>
    <w:p>
      <w:r>
        <w:t>Le recourant estime que son droit d'être entendu aurait été violé, l'autorité d'exécution ayant refusé de l'entendre personnellement et la transmission tardive des déterminations de l'autorité requérante n'ayant pas été réparée devant le TPF. Ces prétendues irrégularités ne sauraient toutefois être assimilées à un défaut grave de la procédure étrangère, cette dernière expression devant être interprétée de manière restrictive. Au demeurant, l'arrêt attaqué est sur ces questions conforme à la jurisprudence relative au droit d'être entendu, qui ne reconnaît pas un droit d'être entendu oralement ( ATF 130 II 425 consid. 2.1 p. 428 et les arrêts cités) et qui admet qu'une violation du droit d'être entendu puisse être réparée lorsque, comme c'est le cas en l'espèce, l'autorité de recours dispose d'un plein pouvoir d'examen en fait et en droit ( ATF 133 I 201 consid. 2.2 p. 204; 118 Ib 111 consid. 4 p. 120 et les références). Il n'y a donc pas de vice grave au sens de l' art. 84 LTF qui justifierait d'entrer en matière.</w:t>
      </w:r>
    </w:p>
    <w:p>
      <w:r>
        <w:rPr>
          <w:b/>
        </w:rPr>
        <w:t>E. 1.4</w:t>
      </w:r>
    </w:p>
    <w:p>
      <w:r>
        <w:t>Le recourant reproche au TPF d'avoir omis de constater une violation du principe de la spécialité, alors qu'il aurait démontré que la Belgique avait transmis à l'Inde les renseignements bancaires obtenus de la Suisse. Ce grief ne suffit pas à conférer au présent cas une importance particulière au sens de l' art. 84 LTF . Il n'apparaît pas que l'arrêt attaqué s'écarte des principes dégagés par la jurisprudence rendue sur ce point. Le TPF a au demeurant considéré que les éléments du dossier ne permettaient pas de mettre en doute les explications de l'autorité requérante quant à l'absence de transmission des documents litigieux à l'Inde, ce que le recourant ne remet pas en cause de manière convaincante.</w:t>
      </w:r>
    </w:p>
    <w:p>
      <w:r>
        <w:rPr>
          <w:b/>
        </w:rPr>
        <w:t>E. 1.5</w:t>
      </w:r>
    </w:p>
    <w:p>
      <w:r>
        <w:t>Pour le surplus,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