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1C_304/2012 vom 25. Februar 2013</w:t>
      </w:r>
    </w:p>
    <w:p>
      <w:r>
        <w:t>Bundesgericht, 2013-02-25, FR</w:t>
      </w:r>
    </w:p>
    <w:p>
      <w:r>
        <w:rPr>
          <w:b/>
        </w:rPr>
        <w:t xml:space="preserve">Quelle: </w:t>
      </w:r>
      <w:r>
        <w:t>https://mcp.opencaselaw.ch/entscheid/bger_1C_304_2012</w:t>
      </w:r>
    </w:p>
    <w:p>
      <w:r>
        <w:t>FR: TF 1C_304/2012 du 25 février 2013</w:t>
      </w:r>
    </w:p>
    <w:p>
      <w:r>
        <w:t>IT: TF 1C_304/2012 del 25 febbraio 2013</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reprend la règle de l' art. 85 let. a OJ et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cf. ATF 134 I 172 consid. 1 p. 175 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La qualité pour agir des deux citoyens genevois est ainsi indiscutable. Elle peut aussi être reconnue à l'ASLOCA, en tant que personne morale qui a lancé l'initiative ( ATF 130 I 290 consid. 1.3 p 292 et les arrêts cités).</w:t>
      </w:r>
    </w:p>
    <w:p>
      <w:r>
        <w:rPr>
          <w:b/>
        </w:rPr>
        <w:t>E. 1.3</w:t>
      </w:r>
    </w:p>
    <w:p>
      <w:r>
        <w:t>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Pour satisfaire ces exigences, la partie recourante doit discuter les motifs de la décision entreprise et indiquer précisément en quoi elle estime que l'autorité précédente a méconnu le droit ( ATF 133 II 249 consid. 1.4.2 p. 254).</w:t>
      </w:r>
    </w:p>
    <w:p>
      <w:r>
        <w:t>Les recourants ont pris une conclusion subsidiaire au terme de l'écriture intitulée "ajout de la 2ème liste de corrections du 16 juin 2012" et l'ont formulée comme suit: "annuler d'office partiellement nulle, le cas échéant, l'article 63 alinéa 3 de la constitution du canton de Genève, par une partie non conforme au droit, tout particulièrement le droit fédéral, en application de l'initiative IN 147" (sic). Incompréhensible, cette conclusion doit être déclarée irrecevable.</w:t>
      </w:r>
    </w:p>
    <w:p>
      <w:r>
        <w:rPr>
          <w:b/>
        </w:rPr>
        <w:t>E. 2</w:t>
      </w:r>
    </w:p>
    <w:p>
      <w:r>
        <w:t>Les recourants reprochent au Grand Conseil genevois d'avoir invalidé l'initiative IN 147 en considérant à tort qu'elle violait l'unité de la matière. Il s'agit d'une initiative législative rédigée de toutes pièces au sens de l' art. 65B Cst./GE .</w:t>
      </w:r>
    </w:p>
    <w:p>
      <w:r>
        <w:rPr>
          <w:b/>
        </w:rPr>
        <w:t>E. 2.1</w:t>
      </w:r>
    </w:p>
    <w:p>
      <w:r>
        <w:t>L'exigence d'unité de la matière découle de la liberté de vote et, en particulier, du droit à la libre formation de l'opinion des citoyens et à l'expression fidèle et sûre de leur volonté ( art. 34 al. 2 Cst. ). Elle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 ATF 137 I 200 consid. 2.2 p. 203; 130 I 185 consid. 3 p. 195 et les arrêts cités).</w:t>
      </w:r>
    </w:p>
    <w:p>
      <w:r>
        <w:t>Ce principe est rappelé à l' art. 66 al. 2 Cst./GE , selon lequel il doit exister un "rapport intrinsèque" entre les diverses parties d'une initiative.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aux citoyens d'exprimer librement leur véritable volonté ( ATF 130 I 185 consid. 3 p. 195 et les arrêts cités).</w:t>
      </w:r>
    </w:p>
    <w:p>
      <w:r>
        <w:t>La portée du principe de l'unité de la matière est en outre différente selon les domaines. Ainsi, les exigences sont plus strictes pour les projets issus d'une initiative populaire que pour ceux proposés par l'autorité: en effet, la règle veut aussi empêcher que les auteurs de l'initiative puissent réunir des partisans de réformes différentes et atteindre ainsi plus aisément le nombre de signatures requis, en risquant cependant de donner un reflet inexact de l'opinion populaire ( ATF 123 I 63 consid. 4b p. 72 et les arrêts cités; dans certaines circonstances, on pourrait aussi admettre que la réunion d'éléments hétérogènes risque de rendre plus difficile la récolte des signatures, les motifs de désaccord étant plus nombreux: cf. Andreas Auer, Les droits politiques dans les cantons suisses, 1978, p. 127; Luzian Odermatt, Ungültigkeiterklärung von Volksinitiativen, PJA 1996 p. 712). Une autre distinction peut être faite: l'exigence d'unité de la matière est plus contraignante à l'égard d'une initiative rédigée de toutes pièces que pour une initiative non formulée: cette dernière contient une proposition générale qu'il appartiendra encore au législateur de concrétiser ( ATF 130 I 185 consid. 3.1 p. 195 et les arrêts cités).</w:t>
      </w:r>
    </w:p>
    <w:p>
      <w:r>
        <w:rPr>
          <w:b/>
        </w:rPr>
        <w:t>E. 2.2</w:t>
      </w:r>
    </w:p>
    <w:p>
      <w:r>
        <w:t>L'unité de la matière est une notion relative qui doit être appréciée en fonction des circonstances concrètes ( ATF 137 I 200 consid. 2.2 p. 203).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128 I 190 consid. 3.2). L'unité de la matière fait ainsi défaut lorsque l'initiative présente en réalité un programme politique général ( ATF 123 I 63 consid. 5 p. 73/74), lorsqu'il n'y a pas de rapport suffisamment étroit entre les différentes propositions, lorsque celles-ci sont réunies de manière artificielle ou subjective ( ATF 123 I 63 consid. 4d p. 73 et consid. 5 p. 73/74 ainsi que la doctrine citée), lorsqu'il n'y a pas d'idée centrale mais deux projets de nature totalement distincte ( ATF 129 I 381 consid. 2.4) ou encore lorsqu'il y a une juxtaposition plutôt qu'une complémentarité de moyens ( ATF 130 I 185 consid. 3.6).</w:t>
      </w:r>
    </w:p>
    <w:p>
      <w:r>
        <w:rPr>
          <w:b/>
        </w:rPr>
        <w:t>E. 2.3</w:t>
      </w:r>
    </w:p>
    <w:p>
      <w:r>
        <w:t>En l'espèce, l'IN 147 est une initiative législative rédigée de toutes pièces, ce qui justifie que l'on se montre plus sévère au regard de l'exigence d'unité de la matière que s'il s'agissait d'une initiative formulée sous forme de voeu. L'initiative frappe d'emblée par la longueur et la densité de son texte qui comprend 20 articles. L'exposé des motifs présente quant à lui 10 buts de l'initiative. Dans le détail, les diverses mesures proposées ont été résumées par le Conseil d'Etat comme suit:</w:t>
      </w:r>
    </w:p>
    <w:p>
      <w:r>
        <w:t>- fixation du principe de la démolition exceptionnelle d'un bâtiment d'habitation (art. 1 al. 3 LDTR);</w:t>
      </w:r>
    </w:p>
    <w:p>
      <w:r>
        <w:t>- nouvelle définition du changement d'affectation (art. 3 al. 3 let. a et b LDTR);</w:t>
      </w:r>
    </w:p>
    <w:p>
      <w:r>
        <w:t>- limitation temporelle de la durée pendant laquelle un local commercial utilisé comme habitation peut redevenir un local commercial sans que cela soit considéré comme un changement d'affectation (art. 3 al. 5 LDTR);</w:t>
      </w:r>
    </w:p>
    <w:p>
      <w:r>
        <w:t>- définition de la pénurie de logement (art. 3 al. 6 et art. 25 al. 2 LDTR);</w:t>
      </w:r>
    </w:p>
    <w:p>
      <w:r>
        <w:t>- nouvelle définition (restrictive) de la dérogation d'intérêt général permettant de démolir un bâtiment ( art. 6 al. 1 let . c LDTR) et nouveau cas dans lequel une dérogation est possible ( art. 6 al. 2 let . e et al. 4 LDTR);</w:t>
      </w:r>
    </w:p>
    <w:p>
      <w:r>
        <w:t>- suppression des règles en matière de mesures énergétiques permettant d'accorder une dérogation en vue de la démolition d'un bâtiment (art. 6 al. 3 LDTR);</w:t>
      </w:r>
    </w:p>
    <w:p>
      <w:r>
        <w:t>- nouvelle définition de la dérogation permettant de changer l'affectation d'un bâtiment (art. 8 al. 1 LDTR);</w:t>
      </w:r>
    </w:p>
    <w:p>
      <w:r>
        <w:t>- précision concernant les surfaces obtenues par des surélévations s'agissant de changement d'affectation d'un bâtiment (art. 8 al. 3 LDTR);</w:t>
      </w:r>
    </w:p>
    <w:p>
      <w:r>
        <w:t>- modification d'un cas d'intérêt général permettant de délivrer une autorisation de transformation : remplacement du maintien ou du développement du commerce et de l'artisanat par la surélévation ( art. 9 al. 1 let . d LDTR);</w:t>
      </w:r>
    </w:p>
    <w:p>
      <w:r>
        <w:t>- modification des éléments définissant les besoins prépondérants de la population en cas d'autorisation de transformation (art. 9 al. 3 LDTR), s'agissant de la surface de plancher (let. a), du prix de revient (let. b), du volume de l'appartement (let. c) et de la collaboration avec les communes pour la préservation du patrimoine (let. e);</w:t>
      </w:r>
    </w:p>
    <w:p>
      <w:r>
        <w:t>- modification des règles relatives à la fourchette des loyers admissibles en cas de transformations, y compris sous l'angle énergétique (art. 9 al. 4 à 6 LDTR);</w:t>
      </w:r>
    </w:p>
    <w:p>
      <w:r>
        <w:t>- règles supplémentaires pour la surélévation d'immeubles, y compris sous l'angle procédural avec notamment l'accord du Conseil administratif de la Ville de Genève (art. 9A LDTR, art. 23 al. 3 et 27 al. 3 LCI);</w:t>
      </w:r>
    </w:p>
    <w:p>
      <w:r>
        <w:t>- renforcement des règles relatives au contrôle des loyers (art. 12 LDTR), en prolongeant les périodes de contrôle (art. 13 al. 1 LDTR) et en fixant la procédure d'information des locataires (art. 12 al. 2 et 3 LDTR);</w:t>
      </w:r>
    </w:p>
    <w:p>
      <w:r>
        <w:t>- annualisation du crédit d'investissement de 20 millions de francs pour encourager la rénovation des bâtiments (art. 17 al. 1 LDTR), avec augmentation du pourcentage du coût des travaux pouvant donner lieu à subventions (art. 21 al. 3 LDTR);</w:t>
      </w:r>
    </w:p>
    <w:p>
      <w:r>
        <w:t>- fixation des loyers par le Département pour le logement dont le propriétaire a reçu une subvention (art. 18 deuxième phrase LDTR) et fixation d'un montant maximal par pièce par an ( art. 21 al. 1 let . c LDTR);</w:t>
      </w:r>
    </w:p>
    <w:p>
      <w:r>
        <w:t>- extension des cas d'expropriation des appartements locatifs laissés abusivement vides (art. 28 let. a LDTR);</w:t>
      </w:r>
    </w:p>
    <w:p>
      <w:r>
        <w:t>- modification des règles relatives à l'aliénation des appartements destinés à la location (art. 39 LDTR);</w:t>
      </w:r>
    </w:p>
    <w:p>
      <w:r>
        <w:t>- ajout d'un lien procédural entre l'autorisation de démolir et l'autorisation définitive de construire (art. 42 a al. 2 LDTR);</w:t>
      </w:r>
    </w:p>
    <w:p>
      <w:r>
        <w:t>- contrôle par l'Etat et les communes de l'affectation des locaux d'habitation, avec devoir d'information par l'Office la population (art. 44 al. 4 LDTR);</w:t>
      </w:r>
    </w:p>
    <w:p>
      <w:r>
        <w:t>- octroi à certaines conditions, aux associations de quartier d'habitants (art. 45 al. 6 LDTR) et aux communes (art. 45 alinéa 7 LDTR) de la qualité pour recourir devant les juridictions administratives;</w:t>
      </w:r>
    </w:p>
    <w:p>
      <w:r>
        <w:t>- fixation d'un montant maximal pour les émoluments et les dépens devant les juridictions administratives, lorsque le recours est déposé par une association d'importance cantonale ou une association de quartier d'habitants (art. 45 al. 8 LDTR);</w:t>
      </w:r>
    </w:p>
    <w:p>
      <w:r>
        <w:t>- modification des règles en matière de répercussion du coût des travaux sur les loyers en cas de mesures énergétiques de rénovations (art. 15 al. 11 LEn).</w:t>
      </w:r>
    </w:p>
    <w:p>
      <w:r>
        <w:rPr>
          <w:b/>
        </w:rPr>
        <w:t>E. 2.4</w:t>
      </w:r>
    </w:p>
    <w:p>
      <w:r>
        <w:t>Les recourants avancent que l'unité de la matière est "indéniable", au motif que l'initiative comporte uniquement des modifications de la LDTR. On peut certes admettre que l'initiative poursuit un but général unique, soit la promotion de la construction de logements et l'utilisation des bâtiments pour le logement. En revanche, les nombreux moyens mis en oeuvre, exposés de manière complexe, ne présentent pas d'unité; il s'agit de mesures relatives au droit des constructions (changement d'affectation, rénovation, démolition, surélévation, lien entre l'autorisation de construire et de démolir), au contrôle de certains loyers (et l'extension des droits de contestation des locataires dans ce contexte), au droit de la propriété privée (refus d'aliénation d'appartements locatifs contenu des publications dans la Feuille d'avis officielle et expropriation), aux subventions étatiques, aux rénovations pour motifs énergétiques et à la qualité pour recourir devant les juridictions administratives et à la fixation d'un montant maximal pour les émoluments et les dépens. Ainsi, l'augmentation de la subvention étatique aux rénovations (annualisation du crédit d'investissement de 20 millions de francs) est sans relation avec la qualité pour recourir d'une association de quartier d'habitants. L'expropriation des immeubles délaissés n'a pas de lien direct avec la fourchette de loyers admissibles en cas de transformation. L'intervention du Conseil administratif de la Ville de Genève en cas de surélévation d'un immeuble sur son territoire n'a pas non plus de rapport étroit avec les règles sur l'aliénation des appartements locatifs. La fixation du principe de la démolition exceptionnelle d'un bâtiment d'habitation n'a pas de connexité avec la fixation d'un montant maximal pour les émoluments et les dépens devant les juridictions administratives lorsque le recours est déposé par une association de quartier d'habitants.</w:t>
      </w:r>
    </w:p>
    <w:p>
      <w:r>
        <w:t>Si ces mesures ont un lien avec la construction de logements et l'utilisation des bâtiments pour le logement, le nombre de modifications proposées est particulièrement important. Un tel foisonnement de propositions comporte inévitablement le risque que le citoyen, favorable par hypothèse au but poursuivi par l'initiative, s'oppose à l'une ou l'autre des mesures proposées. Rien ne permet par exemple d'affirmer qu'une personne en principe favorable à la construction de logements accessibles à la majorité de la population soit aussi acquise aux nouvelles règles en matière de politique énergétique et de subventionnement pour les rénovations ou encore à l'ajout d'un lien procédural entre l'autorisation de démolir et l'autorisation définitive de construire.</w:t>
      </w:r>
    </w:p>
    <w:p>
      <w:r>
        <w:t>Or, le principe de l'unité de la matière tend précisément à éviter de tels dilemmes, contraires à la liberté de choix qui doit prévaloir en matière de droits politiques ( ATF 129 I 366 consid. 2.2 p. 370 et les références citées).</w:t>
      </w:r>
    </w:p>
    <w:p>
      <w:r>
        <w:t>Par ailleurs, le seul fait que l'initiative couvre un champ d'intervention plus restreint que celui couvert par la LDTR ne permet pas d'avoir un fil conducteur aisément reconnaissable puisque la LDTR, amendée à différentes reprises suite à des initiatives populaires, a elle-même un contenu hétéroclite.</w:t>
      </w:r>
    </w:p>
    <w:p>
      <w:r>
        <w:t>De même, il sied de préciser que, contrairement à ce que les recourants allèguent, l'IN 147, qui est une initiative législative rédigée sous forme de projet de loi, ne saurait être comparée à l'initiative législative non formulée "Pour la protection de l'habitat et contre les démolitions abusives" qui a abouti à l'adoption par le parlement genevois de la première LDTR en 1983. S'il est vrai que les exigences relatives à l'unité de la matière sont moins strictes pour les initiatives législatives que pour les initiatives constitutionnelles, les recourants oublient cependant que le principe de l'unité de la matière revêt un sens plus contraignant pour les initiatives rédigées que pour les initiatives conçues en termes généraux.</w:t>
      </w:r>
    </w:p>
    <w:p>
      <w:r>
        <w:t>Il découle de ce qui précède que le contenu de l'initiative IN 147 est particulièrement hétérogène. L'IN 147, sous le couvert d'un objectif général unique, constitue un catalogue de mesures politiques en matière de rénovations et de transformations de logements, tout en touchant des aspects de procédure judiciaire et de subventions. Les composantes de l'initiative sont si disparates qu'il n'est pas possible de discerner un rapport intrinsèque entre elles, permettant d'aboutir au constat du respect de l'unité de la matière.</w:t>
      </w:r>
    </w:p>
    <w:p>
      <w:r>
        <w:rPr>
          <w:b/>
        </w:rPr>
        <w:t>E. 3</w:t>
      </w:r>
    </w:p>
    <w:p>
      <w:r>
        <w:t>La sanction de la violation du principe de l'unité de la matière est en principe l'annulation, totale ou partielle, de l'initiative. Le droit cantonal peut toutefois prévoir la scission de l'initiative en plusieurs parties, soumises à des votes distincts.</w:t>
      </w:r>
    </w:p>
    <w:p>
      <w:r>
        <w:rPr>
          <w:b/>
        </w:rPr>
        <w:t>E. 3.1</w:t>
      </w:r>
    </w:p>
    <w:p>
      <w:r>
        <w:t>L' art. 66 al. 2 Cst./GE prévoit la scission de l'initiative qui ne respecte pas l'unité de la matière, pour autant que ses différentes parties soient en elles-mêmes valides. Selon la jurisprudence, les auteurs d'une initiative qui ne respecte pas l'unité de la matière ne sauraient exiger une scission, permettant de sauver leur démarche à n'importe quelles conditions.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w:t>
      </w:r>
    </w:p>
    <w:p>
      <w:r>
        <w:t>Dans leur mémoire de recours, les recourants se prévalent de l' art. 66 al. 2 Cst./GE , sans préciser pour autant en quoi pourrait consister une éventuelle scission du texte de l'initiative. Or, il n'appartient pas au Tribunal fédéral de décider d'un mode de scission admissible ( ATF 130 I 185 consid. 4.4; 123 I 63 consid. 6c p. 76). Vu les très nombreuses thématiques que contient l'initiative et l'absence de rapport intrinsèque entre elles, il paraît d'ailleurs difficile de trouver une forme de scission satisfaisante.</w:t>
      </w:r>
    </w:p>
    <w:p>
      <w:r>
        <w:rPr>
          <w:b/>
        </w:rPr>
        <w:t>E. 3.2</w:t>
      </w:r>
    </w:p>
    <w:p>
      <w:r>
        <w:t>Sans le formuler clairement, les recourants demandent subsidiairement que l'initiative soit soumise à votation sans les modifications prévues aux art. 6 al. 1 let . c et al. 2 let. e, 9 al. 2 let. d et 39 al. 1 à 4 LDTR, déclarées non conformes au droit supérieur dans le rapport du Conseil d'Etat du 30 novembre 2011.</w:t>
      </w:r>
    </w:p>
    <w:p>
      <w:r>
        <w:rPr>
          <w:b/>
        </w:rPr>
        <w:t>E. 3.2.1</w:t>
      </w:r>
    </w:p>
    <w:p>
      <w:r>
        <w:t>L'invalidation partielle d'une initiative découle du principe selon lequel une initiative doit être interprétée dans le sens le plus favorable aux initiants, selon l'adage "in dubio pro populo". Elle apparaît également comme une concrétisation, en matière de droits populaires, du principe général de la proportionnalité ( art. 36 al. 3 Cst. )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 ATF 134 I 172 consid. 2.1 p. 177 et la jurisprudence citée).</w:t>
      </w:r>
    </w:p>
    <w:p>
      <w:r>
        <w:t>L'invalidation partielle est soumise à deux conditions, l'une subjective, l'autre objective. Il faut en premier lieu que l'on puisse raisonnablement admettre que les signataires auraient aussi approuvé la partie valable de l'initiative, si elle leur avait été présentée seule ( ATF 125 I 21 consid. 7b p. 44).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 ATF 130 I 185 consid. 5 p. 202). Tel est le cas lorsque la partie restante de l'initiative forme un tout homogène qui suit la direction donnée par l'initiative complète, de sorte que l'initiative ne soit pas dépouillée de son contenu essentiel ( ATF 125 I 21 consid. 7b p. 44).</w:t>
      </w:r>
    </w:p>
    <w:p>
      <w:r>
        <w:rPr>
          <w:b/>
        </w:rPr>
        <w:t>E. 3.2.2</w:t>
      </w:r>
    </w:p>
    <w:p>
      <w:r>
        <w:t>En l'espèce, même sans les dispositions précitées, les nombreuses matières qui restent (définition du changement d'affectation de logement, suppression des règles en matière de mesures énergétiques, autorisation de transformation, accord du Conseil administratif de la Ville de Genève, contrôle des loyers, crédit d'investissement de 20 millions de francs, expropriation des immeubles délaissés, contrôle de l'affectation des locaux d'habitation, règles procédurales) ne présentent pas de liens suffisamment étroits entre elles et ne permettent pas de respecter le principe de l'unité de la matière. Une annulation partielle de l'initiative litigieuse n'est dès lors pas possible. Par conséquent, c'est à juste titre que le Grand Conseil a procédé à une invalidation totale de l'initiative IN 147.</w:t>
      </w:r>
    </w:p>
    <w:p>
      <w:r>
        <w:rPr>
          <w:b/>
        </w:rPr>
        <w:t>E. 4</w:t>
      </w:r>
    </w:p>
    <w:p>
      <w:r>
        <w:t>Il s'ensuit que l'invalidation totale décidée par le Grand Conseil est conforme au droit constitutionnel, fédéral et cantonal. Il n'y a pas, cela étant, à examiner les autres arguments des recourants, relatifs à la clarté de l'initiative et à sa conformité au droit supérieur.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