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1C_303/2017 vom 31. Mai 2017</w:t>
      </w:r>
    </w:p>
    <w:p>
      <w:r>
        <w:t>Bundesgericht, 2017-05-31, DE</w:t>
      </w:r>
    </w:p>
    <w:p>
      <w:r>
        <w:rPr>
          <w:b/>
        </w:rPr>
        <w:t xml:space="preserve">Quelle: </w:t>
      </w:r>
      <w:r>
        <w:t>https://mcp.opencaselaw.ch/entscheid/bger_1C_303_2017</w:t>
      </w:r>
    </w:p>
    <w:p>
      <w:r>
        <w:t>FR: TF 1C_303/2017 du 31 mai 2017</w:t>
      </w:r>
    </w:p>
    <w:p>
      <w:r>
        <w:t>IT: TF 1C_303/2017 del 31 maggio 2017</w:t>
      </w:r>
    </w:p>
    <w:p>
      <w:pPr>
        <w:pStyle w:val="Heading2"/>
      </w:pPr>
      <w:r>
        <w:t>Erwägungen</w:t>
      </w:r>
    </w:p>
    <w:p>
      <w:r>
        <w:rPr>
          <w:b/>
        </w:rPr>
        <w:t>E. 1</w:t>
      </w:r>
    </w:p>
    <w:p>
      <w:r>
        <w:t>A.________ erstattete am 14. Dezember 2016 Strafanzeige gegen den Kantonspolizisten B.________ wegen Amtsmissbrauch, falscher Anschuldigung, Erpressung, Drohung, Hausfriedensbruch und Ehrverletzung.</w:t>
      </w:r>
    </w:p>
    <w:p>
      <w:r>
        <w:t>Die Staatsanwaltschaft Limmattal/Albis überwies die Akten mit Verfügung vom 10. März 2017 via Oberstaatsanwaltschaft des Kantons Zürich an die III. Strafkammer des Obergerichts des Kantons Zürich zum Entscheid über die Ermächtigung zur Eröffnung einer Strafuntersuchung. Die III. Strafkammer des Obergerichts des Kantons Zürich trat mit Beschluss vom 16. Mai 2017 auf das Ermächtigungsgesuch betreffend Ehrverletzungsdelikte nicht ein und erteilte im Übrigen die Ermächtigung zum Entscheid über die Eröffnung bzw. Nichtanhandnahme des Strafverfahrens nicht.</w:t>
      </w:r>
    </w:p>
    <w:p>
      <w:r>
        <w:rPr>
          <w:b/>
        </w:rPr>
        <w:t>E. 2</w:t>
      </w:r>
    </w:p>
    <w:p>
      <w:r>
        <w:t>A.________ führt mit Eingabe vom 23. Mai 2017 Beschwerde in öffentlich-rechtlichen Angelegenheiten gegen den Beschluss der III. Strafkammer des Obergerichts des Kantons Zürich. Das Bundesgericht hat davon abgesehen, Stellungnahmen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der Begründung der III. Strafkammer, die zur Verweigerung der Ermächtigung führte, nicht ansatzweise auseinander. Er vermag somit nicht aufzuzeigen, inwiefern diese Begründung bzw. der Beschluss der III. Strafkammer selbst rechts- bzw. verfassungswidrig sein sollte. Demgemäss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4</w:t>
      </w:r>
    </w:p>
    <w:p>
      <w:r>
        <w:t>Angesichts der Aussichtslosigkeit des Verfahrens ist dem Gesuch um unentgeltliche Rechtspflege unter Beiordnung eines Rechtsbeistandes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