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303/2015 vom 22. Juni 2015</w:t>
      </w:r>
    </w:p>
    <w:p>
      <w:r>
        <w:t>Bundesgericht, 2015-06-22, IT</w:t>
      </w:r>
    </w:p>
    <w:p>
      <w:r>
        <w:rPr>
          <w:b/>
        </w:rPr>
        <w:t xml:space="preserve">Quelle: </w:t>
      </w:r>
      <w:r>
        <w:t>https://mcp.opencaselaw.ch/entscheid/bger_1C_303_2015</w:t>
      </w:r>
    </w:p>
    <w:p>
      <w:r>
        <w:t>FR: TF 1C 303/2015 du 22 juin 2015</w:t>
      </w:r>
    </w:p>
    <w:p>
      <w:r>
        <w:t>IT: TF 1C 303/2015 del 22 giugno 2015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w:t>
      </w:r>
    </w:p>
    <w:p>
      <w:r>
        <w:rPr>
          <w:b/>
        </w:rPr>
        <w:t>E. 1.3</w:t>
      </w:r>
    </w:p>
    <w:p>
      <w:r>
        <w:t>Il TPF ha accertato, ciò che non è contestato dalla società ricorrente, ch'essa è stata disciolta da tempo. Ha poi ricordato che quando la persona giuridica è stata sciolta e pertanto, come in concreto, essa non può più agire, l'avente diritto economico è eccezionalmente legittimato a ricorrere ( DTF 123 II 153 consid. 2). Ha quindi chiesto alla ricorrente di produrre la documentazione sui poteri di rappresentanza dell'avente diritto economico, lasciando nondimeno aperta la questione della sua legittimazione, poiché il gravame era comunque infondato nel merito. Ora, l'atto di ricorso in esame, inoltrato da una persona giuridica sciolta da tempo, senza peraltro dimostrare che la liquidazione non sia avvenuta in maniera abusiva, è chiaramente inammissibile per carenza di legittimazione, quesito, decisivo, sul quale la ricorrente neppure si esprime (sentenze 1C_370/2012 del 3 ottobre 2012 consid. 2 e 1C_122/2011 del 23 maggio 2011 consid. 4.2 con numerosi rinvii).</w:t>
      </w:r>
    </w:p>
    <w:p>
      <w:r>
        <w:rPr>
          <w:b/>
        </w:rPr>
        <w:t>E. 1.4</w:t>
      </w:r>
    </w:p>
    <w:p>
      <w:r>
        <w:t>Il ricorso è inammissibile anche per un ulteriore motivo. La ricorrente, limitandosi in effetti a postulare l'annullamento della decisione di chiusura del MPC, che non costituisce manifestamente una decisione di ultima istanza ( art. 86 cpv. 1 lett. b LTF e art. 80e cpv. 1 AIMP ; RS 351.1), non chiede di annullare quella del TPF, l'unica impugnabile: per l'effetto devolutivo del ricorso, seppure da considerarsi come materialmente contestata, quella di chiusura è infatti sostituita da quella dell'istanza precedente (cfr. DTF 136 II 101 consid. 1.2; sentenza 1C_359/2014 del 25 luglio 2014 consid. 1.3 e rinvii).</w:t>
      </w:r>
    </w:p>
    <w:p>
      <w:r>
        <w:rPr>
          <w:b/>
        </w:rPr>
        <w:t>E. 2.1</w:t>
      </w:r>
    </w:p>
    <w:p>
      <w:r>
        <w:t>Il ricorso dev'essere quindi dichiarato inammissibile. Le spese seguono la soccombenza ( art. 66 cpv. 1 LTF ).</w:t>
      </w:r>
    </w:p>
    <w:p>
      <w:r>
        <w:rPr>
          <w:b/>
        </w:rPr>
        <w:t>E. 2.2</w:t>
      </w:r>
    </w:p>
    <w:p>
      <w:r>
        <w:t>L'emanazione del presente giudizio rende priva d'oggetto la domanda di effetto sospensivo, richiesta peraltro superflua, visto che nei procedimenti nel campo dell'assistenza giudiziaria internazionale in materia penale i ricorsi presentati contro una decisione che autorizza la comunicazione di informazioni inerenti alla sfera segreta hanno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