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1C_301/2018 vom 12. Juli 2018</w:t>
      </w:r>
    </w:p>
    <w:p>
      <w:r>
        <w:t>Bundesgericht, 2018-07-12, DE</w:t>
      </w:r>
    </w:p>
    <w:p>
      <w:r>
        <w:rPr>
          <w:b/>
        </w:rPr>
        <w:t xml:space="preserve">Quelle: </w:t>
      </w:r>
      <w:r>
        <w:t>https://mcp.opencaselaw.ch/entscheid/bger_1C_301_2018</w:t>
      </w:r>
    </w:p>
    <w:p>
      <w:r>
        <w:t>FR: TF 1C_301/2018 du 12 juillet 2018</w:t>
      </w:r>
    </w:p>
    <w:p>
      <w:r>
        <w:t>IT: TF 1C_301/2018 del 12 luglio 2018</w:t>
      </w:r>
    </w:p>
    <w:p>
      <w:pPr>
        <w:pStyle w:val="Heading2"/>
      </w:pPr>
      <w:r>
        <w:t>Erwägungen</w:t>
      </w:r>
    </w:p>
    <w:p>
      <w:r>
        <w:rPr>
          <w:b/>
        </w:rPr>
        <w:t>E. 1</w:t>
      </w:r>
    </w:p>
    <w:p>
      <w:r>
        <w:t>Am 4. März 2018 fanden in Winterthur die Wahlen von Gemeinde- und Stadtrat statt. Am 13. März 2018 wurden die Ergebnisse veröffentlicht. Kurt Senft erhob am 14. März 2018 Stimmrechtsrekurs. Der Bezirksrat Winterthur wies mit Beschluss vom 6. April 2018 den Rekurs ab, soweit er darauf eintrat. Auf eine dagegen von Kurt Senft erhobene Beschwerde trat das Verwaltungsgericht des Kantons Zürich mit Verfügung vom 26. April 2018 nicht ein.</w:t>
      </w:r>
    </w:p>
    <w:p>
      <w:r>
        <w:rPr>
          <w:b/>
        </w:rPr>
        <w:t>E. 2</w:t>
      </w:r>
    </w:p>
    <w:p>
      <w:r>
        <w:t>Kurt Senft erhob mit Eingabe vom 21. Juni 2018 Beschwerde in öffentlich-rechtlichen Angelegenheiten gegen die Verfügung des Verwaltungsgerichts des Kantons Zürich vom 26. April 2018. Da die angefochtene Verfügung der Beschwerde nicht beilag, forderte das Bundesgericht Kurt Senft mit Verfügung vom 26. Juni 2018 auf, diese noch nachzureichen. Innert Frist kam Kurt Senft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überhaupt nicht mit der Begründung des Verwaltungsgerichts auseinander, die zum Nichteintreten auf die Beschwerde führte. Er legt folglich nicht dar, inwiefern die Begründung des Verwaltungsgerichts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