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301/2012 vom 14. Juni 2012</w:t>
      </w:r>
    </w:p>
    <w:p>
      <w:r>
        <w:t>Bundesgericht, 2012-06-14, DE</w:t>
      </w:r>
    </w:p>
    <w:p>
      <w:r>
        <w:rPr>
          <w:b/>
        </w:rPr>
        <w:t xml:space="preserve">Quelle: </w:t>
      </w:r>
      <w:r>
        <w:t>https://mcp.opencaselaw.ch/entscheid/bger_1C_301_2012</w:t>
      </w:r>
    </w:p>
    <w:p>
      <w:r>
        <w:t>FR: TF 1C 301/2012 du 14 juin 2012</w:t>
      </w:r>
    </w:p>
    <w:p>
      <w:r>
        <w:t>IT: TF 1C 301/2012 del 14 giugno 2012</w:t>
      </w:r>
    </w:p>
    <w:p>
      <w:pPr>
        <w:pStyle w:val="Heading2"/>
      </w:pPr>
      <w:r>
        <w:t>Regeste</w:t>
      </w:r>
    </w:p>
    <w:p>
      <w:r>
        <w:t>Auslieferung an Serbien; Auslieferungshaft | Rechtshilfe und Auslieferung</w:t>
      </w:r>
    </w:p>
    <w:p>
      <w:pPr>
        <w:pStyle w:val="Heading2"/>
      </w:pPr>
      <w:r>
        <w:t>Erwägungen</w:t>
      </w:r>
    </w:p>
    <w:p>
      <w:r>
        <w:rPr>
          <w:b/>
        </w:rPr>
        <w:t>E. 1.1</w:t>
      </w:r>
    </w:p>
    <w:p>
      <w:r>
        <w:t>Ein Entscheid über die Auslieferungshaft stellt einen nach Art. 93 Abs. 2 i.V.m. Abs. 1 lit. a BGG anfechtbaren Zwischenentscheid dar. Auch insoweit ist die Beschwerde jedoch nur zulässig, wenn ein besonders bedeutender Fall im Sinne von Art. 84 BGG vorliegt ( BGE 136 IV 20 E. 1.1 f. S. 22 mit Hinweisen). Art. 84 BGG bezweckt die wirksame Begrenzung des Zugangs zum Bundesgericht im Bereich der internationalen Rechtshilfe in Strafsachen ( BGE 134 IV 156 E. 1.3.1 S. 160 mit Hinweisen). Ein besonders bedeutender Fall ist mit Zurückhaltung anzunehmen ( BGE 136 IV 139 E. 2.4 S. 144 mit Hinweis).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Das Eintretenserfordernis des besonders bedeutenden Falles ist hier nicht erfüllt. Die Vorinstanz hat zu den wesentlichen Vorbringen des Beschwerdeführers Stellung genommen. Ihre Erwägungen sind jedenfalls im Ergebnis nicht zu beanstanden. Dies gilt insbesondere, soweit die Vorinstanz den Alibibeweis als nicht sofort erbracht beurteilt hat (angefochtener Entscheid E. 4.1 ff. S. 5 f.). Gemäss Art. 47 Abs. 1 lit. b IRSG kann vom Erlass eines Auslieferungshaftbefehls abgesehen werden, wenn der Verfolgte ohne Verzug nachweisen kann, dass er zur Zeit der Tat nicht am Tatort war. Nach der Rechtsprechung ist es nicht Sache der schweizerischen Behörden, Nachforschungen über die Glaubwürdigkeit eines Zeugen des angeblichen Alibis zu machen oder machen zu lassen. Wenn - wie hier - diesbezügliche Zweifel nicht ausgeschlossen werden können, ist das Alibi nicht ohne Verzug im Sinne von Art. 47 Abs. 1 lit. b IRSG nachgewiesen. Art. 53 IRSG kommt erst zur Anwendung, wenn es um den Auslieferungsentscheid selber geht ( BGE 112 Ib 347 E. 4 S. 349 f.; 109 IV 174 E. 2 S. 175 f.). Rechtsfragen von grundsätzlicher Bedeutung stellen sich im vorliegenden Fall nicht. Auch sonst wie ist dieser nicht von aussergewöhnlicher Tragweite. Für das Bundesgericht besteht deshalb kein Anlass, die Sache an die Hand zu nehmen.</w:t>
      </w:r>
    </w:p>
    <w:p>
      <w:r>
        <w:rPr>
          <w:b/>
        </w:rPr>
        <w:t>E. 2</w:t>
      </w:r>
    </w:p>
    <w:p>
      <w:r>
        <w:t>Nach dem Gesagten ist die Beschwerde unzulässig. Da sie aussichtslos war, kann die unentgeltliche Rechtspflege und Verbeiständung gemäss Art. 64 BGG nicht bewilligt werden. Unter den gegebenen Umständen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