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1C_300/2024 vom 4. Juni 2024</w:t>
      </w:r>
    </w:p>
    <w:p>
      <w:r>
        <w:t>Bundesgericht, 2024-06-04, DE</w:t>
      </w:r>
    </w:p>
    <w:p>
      <w:r>
        <w:rPr>
          <w:b/>
        </w:rPr>
        <w:t xml:space="preserve">Quelle: </w:t>
      </w:r>
      <w:r>
        <w:t>https://mcp.opencaselaw.ch/entscheid/bger_1C_300_2024</w:t>
      </w:r>
    </w:p>
    <w:p>
      <w:r>
        <w:t>FR: TF 1C_300/2024 du 4 juin 2024</w:t>
      </w:r>
    </w:p>
    <w:p>
      <w:r>
        <w:t>IT: TF 1C_300/2024 del 4 giugno 2024</w:t>
      </w:r>
    </w:p>
    <w:p>
      <w:pPr>
        <w:pStyle w:val="Heading2"/>
      </w:pPr>
      <w:r>
        <w:t>Erwägungen</w:t>
      </w:r>
    </w:p>
    <w:p>
      <w:r>
        <w:rPr>
          <w:b/>
        </w:rPr>
        <w:t>E. 1</w:t>
      </w:r>
    </w:p>
    <w:p>
      <w:r>
        <w:t>A.________ war ab dem 17. Oktober 2022 im Rahmen eines auf ein Jahr befristeten Anstellungsverhältnisses als "Aushilfe Vereinswart" bei der Kantonsschule Hottingen angestellt. Mit unbegründeter Verfügung vom 16. Januar 2023 löste die Schulleitung das Anstellungsverhältnis während der Probezeit auf. Auf Ersuchen A.________s hin begründete die Schulleitung ihre Kündigungsverfügung am 3. März 2023.</w:t>
      </w:r>
    </w:p>
    <w:p>
      <w:r>
        <w:t>Gegen die unbegründete Kündigungsverfügung gelangte A.________ an die Bildungsdirektion des Kantons Zürich, die am 28. Februar 2023 nicht auf den Rekurs eintrat. Das Verwaltungsgericht des Kantons Zürich trat auf die gegen diese Verfügung erhobene Beschwerde mit Entscheid vom 20. März 2023 ebenfalls nicht ein und überwies die Beschwerdeschrift A.________s als gegen die begründete Kündigungsverfügung vom 3. März 2023 gerichteten Rekurs an die Bildungsdirektion. Diese hiess das Rechtsmittel am 1. September 2023 teilweise gut, stellte fest, dass die Auflösung des Arbeitsverhältnisses materiell rechtmässig gewesen, jedoch formell mangelhaft erfolgt sei, und verpflichtete die Kantonsschule Hottingen, A.________ eine Entschädigung von einem Monatslohn zu bezahlen. Im Übrigen wies sie den Rekurs ab.</w:t>
      </w:r>
    </w:p>
    <w:p>
      <w:r>
        <w:rPr>
          <w:b/>
        </w:rPr>
        <w:t>E. 2</w:t>
      </w:r>
    </w:p>
    <w:p>
      <w:r>
        <w:t>Gegen die Verfügung der Bildungsdirektion vom 1. September 2023 erhob A.________ Beschwerde beim Verwaltungsgericht. Mit Urteil vom 4. April 2024 wies das Gericht das Rechtsmittel ab, soweit es darauf eintrat. Die Gerichtskosten nahm es auf die Staatskasse; Parteientschädigungen sprach es keine zu.</w:t>
      </w:r>
    </w:p>
    <w:p>
      <w:r>
        <w:rPr>
          <w:b/>
        </w:rPr>
        <w:t>E. 3</w:t>
      </w:r>
    </w:p>
    <w:p>
      <w:r>
        <w:t>Mit Eingabe vom 13. Mai 2024 erhebt A.________ beim Bundesgericht sinngemäss Beschwerde gegen das Urteil des Verwaltungsgerichts vom 4. April 2024.</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in Auseinandersetzung mit den Vorbringen des Beschwerdeführers einlässlich dargelegt, wieso dessen Verhalten mangelhaft gewesen sei und damit ein hinreichender Grund für die Auflösung des Anstellungsverhältnisses während der Probezeit bestanden habe. Sie hat weiter erläutert, wieso die Entschädigung in der Höhe eines Monatslohns, die dem Beschwerdeführer wegen der bei der Kündigung erfolgten Gehörsverletzung von der Bildungsdirektion zugesprochen wurde, unter den gegebenen Umständen jedenfalls nicht zu tief sei.</w:t>
      </w:r>
    </w:p>
    <w:p>
      <w:r>
        <w:t>Der Beschwerdeführer setzt sich in seiner Eingabe an das Bundesgericht mit den Erwägungen im angefochtenen Entscheid nicht auseinander. Soweit seine Vorbringen und Forderungen nicht von vornherein an der Sache bzw. am zulässigen Streitgegenstand des vorliegenden Beschwerdeverfahrens vorbeigehen, legt er nicht und schon gar nicht konkret und im Einzelnen dar, inwiefern die Begründung der Vorinstanz oder deren Entscheid selbst Recht im Sinne von Art. 42 Abs. 2 BGG verletzen soll. Seine im Ton teilweise verfehlte Beschwerde mit verschiedenen Anschuldigungen genügt den Begründungsanforderungen offensichtlich nicht, weshalb im vereinfachten Verfahren nach Art. 108 Abs. 1 BGG ohne Weiterungen, insbesondere ohne die vom Beschwerdeführer verlangte Einholung eines Berichts der Staatsanwaltschaft des Kantons Zürich, nicht auf sie einzutreten ist.</w:t>
      </w:r>
    </w:p>
    <w:p>
      <w:r>
        <w:rPr>
          <w:b/>
        </w:rPr>
        <w:t>E. 5</w:t>
      </w:r>
    </w:p>
    <w:p>
      <w:r>
        <w:t>Bei diesem Verfahrensausgang ist der Beschwerdeführer an sich kostenpflichtig; auf eine Kostenerhebung kann jedoch verzichtet werden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