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1C_300/2019 vom 3. Juni 2019</w:t>
      </w:r>
    </w:p>
    <w:p>
      <w:r>
        <w:t>Bundesgericht, 2019-06-03, FR</w:t>
      </w:r>
    </w:p>
    <w:p>
      <w:r>
        <w:rPr>
          <w:b/>
        </w:rPr>
        <w:t xml:space="preserve">Quelle: </w:t>
      </w:r>
      <w:r>
        <w:t>https://mcp.opencaselaw.ch/entscheid/bger_1C_300_2019</w:t>
      </w:r>
    </w:p>
    <w:p>
      <w:r>
        <w:t>FR: TF 1C_300/2019 du 3 juin 2019</w:t>
      </w:r>
    </w:p>
    <w:p>
      <w:r>
        <w:t>IT: TF 1C_300/2019 del 3 giugno 2019</w:t>
      </w:r>
    </w:p>
    <w:p>
      <w:pPr>
        <w:pStyle w:val="Heading2"/>
      </w:pPr>
      <w:r>
        <w:t>Erwägungen</w:t>
      </w:r>
    </w:p>
    <w:p>
      <w:r>
        <w:rPr>
          <w:b/>
        </w:rPr>
        <w:t>E. 1</w:t>
      </w:r>
    </w:p>
    <w:p>
      <w:r>
        <w:t>Le 22 juin 2017, la Commission cantonale des constructions du canton du Valais a délivré à la Commune de Vex l'autorisation de construire un complexe scolaire avec une salle de gymnastique et un bâtiment séparé incluant des commerces et neuf appartements sur six niveaux et a écarté l'opposition formée à ce projet par A.________.</w:t>
      </w:r>
    </w:p>
    <w:p>
      <w:r>
        <w:t>Le 7 novembre 2018, le Conseil d'Etat valaisan a rejeté le recours formé contre cette décision par l'opposant.</w:t>
      </w:r>
    </w:p>
    <w:p>
      <w:r>
        <w:t>Par arrêt rendu le 23 avril 2019 sur recours de A.________, la Cour de droit public du Tribunal cantonal du canton du Valais a annulé la décision du Conseil d'Etat en ce qu'elle concerne le recourant et a renvoyé l'affaire à cette autorité pour instruction complémentaire et nouvelle décision au sens du considérant 3.5.4. Elle a également précisé que le permis de bâtir devra, le cas échéant, être complété en ce sens que les installations de ventilation du complexe scolaire projeté seront obligatoirement pourvues d'un système d'amortisseurs de bruit de 2000 mm.</w:t>
      </w:r>
    </w:p>
    <w:p>
      <w:r>
        <w:t>Agissant par la voie du recours constitutionnel subsidiaire, A.________ demande au Tribunal fédéral d'annuler cet arrêt ainsi que l'autorisation de construire délivrée le 22 juin 2017. Il conclut à titre subsidiaire à l'annulation de l'arrêt attaqué et au renvoi de la cause au Tribunal cantonal pour nouvelle décision au sens des considérants.</w:t>
      </w:r>
    </w:p>
    <w:p>
      <w:r>
        <w:t>Il n'a pas été ordonné d'échange d'écritures.</w:t>
      </w:r>
    </w:p>
    <w:p>
      <w:r>
        <w:rPr>
          <w:b/>
        </w:rPr>
        <w:t>E. 2</w:t>
      </w:r>
    </w:p>
    <w:p>
      <w:r>
        <w:t>La décision litigieuse, rendue en dernière instance cantonale dans le domaine du droit public des constructions, est susceptible d'être attaquée auprès du Tribunal fédéral par la voie du recours en matière de droit public conformément aux art. 82 ss LTF , de sorte que le recours constitutionnel subsidiaire est irrecevable (cf. art. 113 LTF ).</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En l'espèce, la Cour de droit public a admis partiellement le recours déposé par A.________ contre la décision du Conseil d'Etat du 7 novembre 2018 qu'elle a annulée en ce qu'elle concernait le recourant et a renvoyé la cause à cette autorité pour instruction complémentaire et nouvelle décision dans le sens du considérant 3.5.4 de son arrêt. Ce dernier s'analyse ainsi comme une décision de renvoi alors même qu'il se prononce définitivement sur la conformité du projet litigieux aux exigences en matière de protection contre le bruit et de stationnement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Elles sont toutefois tenues pour finales lorsque le renvoi a lieu uniquement en vue de son exécution par l'autorité inférieure sans que celle-ci ne dispose encore d'une liberté d'appréciation notable ( ATF 140 V 282 consid. 4.2 p. 286).</w:t>
      </w:r>
    </w:p>
    <w:p>
      <w:r>
        <w:t>Tel n'est pas le cas en l'espèce. La Cour de droit public a constaté que le projet contrevenait en l'état aux règles de distances entre bâtiments et que ce constat imposait le renvoi de l'affaire devant le Conseil d'Etat qui devra exiger de l'autorité communale, porteuse du projet, qu'elle corrige cette irrégularité en déposant une demande de dérogation motivée. Une fois les motifs de dérogation connus, il reviendra au Conseil d'Etat de recueillir les déterminations de la Commission cantonale des constructions et du recourant, puis d'apprécier si ladite dérogation se justifie ou non, en tenant compte de tous les intérêts en jeu. Le cas échéant, si c'est une modification de l'implantation des bâtiments qui devait être en définitive envisagée, de nouveaux plans devraient être déposés et la question d'une nouvelle mise à l'enquête publique devra être examinée. Le Conseil d'Etat, à qui la cause est renvoyée, dispose ainsi, sur le point encore en suspens, d'une marge de manoeuvre qui excède celle d'un simple exécutant de l'arrêt attaqué. La Cour de céans ne pourrait donc entrer en matière sur le recours en matière de droit public que si les conditions alternatives de l' art. 93 al. 1 let. a et b LTF étaient réalisées, s'agissant d'une décision qui n'entre pas dans le champ d'application de l' art. 92 LTF .</w:t>
      </w:r>
    </w:p>
    <w:p>
      <w:r>
        <w:t>Le recourant ne s'exprime pas sur ce point, comme il lui incombait de le faire ( ATF 137 III 522 consid. 1.3 p. 525). L'existence d'un préjudice irréparable de nature juridique au sens de l' art. 93 al. 1 let. a LTF n'est par ailleurs pas évidente. A.________ pourra contester la nouvelle décision du Conseil d'Etat, si elle devait lui être défavorable, auprès de la Cour de droit public puis, en dernier ressort, recourir contre l'arrêt rendu par cette juridiction auprès du Tribunal fédéral et contre l'arrêt cantonal incident du 23 avril 2019. S'il devait ne rien trouver à redire à l'encontre de la nouvelle décision du Conseil d'Etat, il pourra recourir directement auprès du Tribunal fédéral contre cette décision et contre l'arrêt cantonal incident du 23 avril 2019 en reprenant les arguments développés dans le présent mémoire de recours (cf. art. 93 al. 3 LTF ; ATF 117 Ia 251 consid. 1b p. 255; 106 Ia 229 consid. 4 p. 236). L'allongement de la durée de la procédure et l'augmentation des coûts qui en résulte ne sont pas constitutifs d'un dommage irréparable au sens de l' art. 93 al. 1 let. a LTF ( ATF 135 II 30 consid. 1.3.4 p. 36). La condition posée à l' art. 93 al. 1 let. b LTF n'est pas davantage réalisée. Si l'admission du recours conduit immédiatement à une décision finale, rien ne permet d'affirmer que les mesures d'instruction complémentaires qui devront être administrées seront longues et coûteuses et que la nouvelle décision du Conseil d'Etat ne pourrait être prise dans un délai raisonnable.</w:t>
      </w:r>
    </w:p>
    <w:p>
      <w:r>
        <w:t>Il s'ensuit que l'arrêt entrepris ne peut pas faire l'objet d'un recours ordinaire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qui succombe, prendra en charge les frais du présent arrêt ( art. 65 et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