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1C_300/2017 vom 21. Juli 2017</w:t>
      </w:r>
    </w:p>
    <w:p>
      <w:r>
        <w:t>Bundesgericht, 2017-07-21, DE</w:t>
      </w:r>
    </w:p>
    <w:p>
      <w:r>
        <w:rPr>
          <w:b/>
        </w:rPr>
        <w:t xml:space="preserve">Quelle: </w:t>
      </w:r>
      <w:r>
        <w:t>https://mcp.opencaselaw.ch/entscheid/bger_1C_300_2017</w:t>
      </w:r>
    </w:p>
    <w:p>
      <w:r>
        <w:t>FR: TF 1C_300/2017 du 21 juillet 2017</w:t>
      </w:r>
    </w:p>
    <w:p>
      <w:r>
        <w:t>IT: TF 1C_300/2017 del 21 luglio 2017</w:t>
      </w:r>
    </w:p>
    <w:p>
      <w:pPr>
        <w:pStyle w:val="Heading2"/>
      </w:pPr>
      <w:r>
        <w:t>Erwägungen</w:t>
      </w:r>
    </w:p>
    <w:p>
      <w:r>
        <w:rPr>
          <w:b/>
        </w:rPr>
        <w:t>E. 1</w:t>
      </w:r>
    </w:p>
    <w:p>
      <w:r>
        <w:t>Die Beschwerde im Verfahren 1C_300/2017 wird als durch Rückzug erledigt abgeschrieben.</w:t>
      </w:r>
    </w:p>
    <w:p>
      <w:r>
        <w:rPr>
          <w:b/>
        </w:rPr>
        <w:t>E. 2</w:t>
      </w:r>
    </w:p>
    <w:p>
      <w:r>
        <w:t>Die Gerichtskosten von Fr. 500.-- werden den Beschwerdeführern auferlegt.</w:t>
      </w:r>
    </w:p>
    <w:p>
      <w:r>
        <w:rPr>
          <w:b/>
        </w:rPr>
        <w:t>E. 3</w:t>
      </w:r>
    </w:p>
    <w:p>
      <w:r>
        <w:t>Diese Verfügung wird den Parteien, dem Bezirksrat Küssnacht, dem Amt für Raumentwicklung des Kantons Schwyz, dem Regierungsrat des Kantons Schwyz, dem Verwaltungsgericht des Kantons Schwyz, Kammer III, sowie dem Bundesamt für Raumentwicklung und dem Bundesamt für Strassen schriftlich mitgeteilt.</w:t>
      </w:r>
    </w:p>
    <w:p>
      <w:r>
        <w:t>Lausanne, 21. Juli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