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1C_300/2016 vom 16. Mai 2017</w:t>
      </w:r>
    </w:p>
    <w:p>
      <w:r>
        <w:t>Bundesgericht, 2017-05-16, FR</w:t>
      </w:r>
    </w:p>
    <w:p>
      <w:r>
        <w:rPr>
          <w:b/>
        </w:rPr>
        <w:t xml:space="preserve">Quelle: </w:t>
      </w:r>
      <w:r>
        <w:t>https://mcp.opencaselaw.ch/entscheid/bger_1C_300_2016</w:t>
      </w:r>
    </w:p>
    <w:p>
      <w:r>
        <w:t>FR: TF 1C_300/2016 du 16 mai 2017</w:t>
      </w:r>
    </w:p>
    <w:p>
      <w:r>
        <w:t>IT: TF 1C_300/2016 del 16 maggio 2017</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devant l'autorité précédente. Ils sont particulièrement touchés par la décision attaquée qui annule l'ordre de démolition d'une partie de l'annexe des intimés érigée sur le jardin contigu au leur.</w:t>
      </w:r>
    </w:p>
    <w:p>
      <w:r>
        <w:t>Les autres conditions de recevabilité sont réunies, si bien qu'il y a lieu d'entrer en matière sur le recours.</w:t>
      </w:r>
    </w:p>
    <w:p>
      <w:r>
        <w:rPr>
          <w:b/>
        </w:rPr>
        <w:t>E. 2</w:t>
      </w:r>
    </w:p>
    <w:p>
      <w:r>
        <w:t>Le Tribunal fédéral statue en principe sur la base des faits établis par l'autorité précédente ( art. 105 al. 1 LTF ), sous réserve des cas prévus à l' art. 105 al. 2 LTF . Selon l' art. 97 al. 1 LTF , le recourant ne peut critiquer la constatation de faits qui importent pour le jugement de la cause que si ceux-ci ont été établis en violation du droit au sens de l' art. 95 LTF ou de manière manifestement inexacte, c'est-à-dire arbitraire, ce qu'il lui appartient de démontrer par une argumentation répondant aux exigences de l' art. 42 al. 2 LTF , respectivement de l' art. 106 al. 2 LTF ( ATF 137 I 58 consid. 4.1.2 p. 62).</w:t>
      </w:r>
    </w:p>
    <w:p>
      <w:r>
        <w:t>Dans la partie de leur écriture intitulée "Motivation", les recourants présentent sur trois pages leur propre exposé des faits, dont certains s'écartent de ceux retenus par l'instance précédente. En lien avec ces faits, les recourants ne se prévalent toutefois pas du grief d'arbitraire dans l'établissement des faits et ne développent aucune argumentation remplissant les exigences de motivation précitées. Les allégués de fait qui ne ressortent pas de la décision entreprise sont dès lors irrecevables.</w:t>
      </w:r>
    </w:p>
    <w:p>
      <w:r>
        <w:t>Les recourants invoquent le grief de constatation manifestement inexacte des faits uniquement en tant que l'instance précédente a à tort retenu que "le Conseil d'Etat et le Conseil communal d'Hauterive n'ont pas constaté de violation de normes du droit de la construction ou de l'aménagement du territoire" (cf. considérant 5b.aa de l'arrêt attaqué); à l'appui de leur moyen, ils se réfèrent à un courriel du 24 juin 2015 de l'architecte-conseil de la Commune évoquant l'existence d'un forjet. Les recourants ne démontrent toutefois pas le caractère arbitraire du constat de l'instance précédente. En particulier, ils n'exposent pas où le Conseil d'Etat et la Commune auraient, dans leurs décisions des 16 juin 2014 et 1</w:t>
      </w:r>
    </w:p>
    <w:p>
      <w:r>
        <w:t>er avril 2015, constaté une violation d'une disposition matérielle du droit des constructions. Ils ne mentionnent aucun passage précis de ces décisions et se limitent à reproduire un courriel du 24 juin 2015 postérieur à celles-ci. Faute de satisfaire aux exigences de motivation précitées, leur grief est irrecevable.</w:t>
      </w:r>
    </w:p>
    <w:p>
      <w:r>
        <w:rPr>
          <w:b/>
        </w:rPr>
        <w:t>E. 3</w:t>
      </w:r>
    </w:p>
    <w:p>
      <w:r>
        <w:t>Les recourants invoquent ensuite de manière confuse une "violation arbitraire des règles de droit matériel".</w:t>
      </w:r>
    </w:p>
    <w:p>
      <w:r>
        <w:rPr>
          <w:b/>
        </w:rPr>
        <w:t>E. 3.1</w:t>
      </w:r>
    </w:p>
    <w:p>
      <w:r>
        <w:t>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140 III 16 consid. 2.1 p. 18). Dans ce contexte, le recourant est soumis aux exigences accrues de motivation de l' art. 106 al. 2 LTF ; il doit en particulier indiquer précisément quelle disposition constitutionnelle ou légale a été violée et démontrer par une argumentation précise en quoi consiste la violation.</w:t>
      </w:r>
    </w:p>
    <w:p>
      <w:r>
        <w:rPr>
          <w:b/>
        </w:rPr>
        <w:t>E. 3.2</w:t>
      </w:r>
    </w:p>
    <w:p>
      <w:r>
        <w:t>A l'appui de leur grief tiré de la violation arbitraire des règles de droit matériel, les recourants reprochent à l'instance précédente de ne pas avoir retenu l'existence d'un forjet. Ils n'invoquent toutefois pas expressément l' art. 9 Cst. et ne précisent pas quelle disposition de droit cantonal aurait été violée. Ils expliquent certes brièvement que l'instance précédente a nié l'existence d'un forjet au motif que l'art. 24 du règlement d'exécution de la loi cantonale sur l'aménagement du territoire du 16 octobre 1996 (RELCAT; RS/NE 701.02) n'était pas applicable puisque l'extension litigieuse était totalement rattachée à l'immeuble existant et ne constituait pas un bâtiment distinct; ils ne se plaignent cependant pas expressément de la violation de cette disposition de droit cantonal dont ils n'exposent en outre pas la teneur. Ils ne démontrent pas non plus le caractère arbitraire de l'interprétation de cette disposition par la cour cantonale. Ils se contentent en l'occurrence d'exposer le contenu des art. 18, 19 al. 2 et 22 RELCAT relatifs aux gabarits, puis d'affirmer que chaque propriétaire d'étages a un droit d'usage exclusif sur le jardin devant sa propriété, de sorte qu'il faut considérer "l'extension réalisée comme étant un bâtiment dont il fallait regarder le forjet par rapport à la construction existante". Ils ajoutent enfin que la vision des lieux permettrait de se rendre compte du fait que l'ensoleillement et la vue depuis leur propriété sont gravement prétérités par l'extension litigieuse. Force est dès lors de constater que la critique des recourants ne satisfait manifestement pas aux exigences accrues de motivation (cf. consid. 3.1) et doit être déclarée irrecevable. Il n'y a, par conséquent, pas lieu de s'écarter de l'appréciation de l'instance précédente selon laquelle l'extension litigieuse respecte les règles sur les gabarits, l'art. 24 RELATC n'étant en particulier pas applicable.</w:t>
      </w:r>
    </w:p>
    <w:p>
      <w:r>
        <w:rPr>
          <w:b/>
        </w:rPr>
        <w:t>E. 4</w:t>
      </w:r>
    </w:p>
    <w:p>
      <w:r>
        <w:t>Les recourants reprochent ensuite à l'instance précédente de ne pas avoir tenu compte de la violation des règles formelles. L'instance précédente aurait en particulier violé les principes de l'égalité de traitement, de la légalité et de la proportionnalité en admettant que les intimés puissent maintenir leur extension malgré la mauvaise foi dont ils ont fait preuve en violant l'autorisation de construire délivrée en 2011 et en n'obtenant pas le consentement des autres propriétaires d'étages.</w:t>
      </w:r>
    </w:p>
    <w:p>
      <w:r>
        <w:rPr>
          <w:b/>
        </w:rPr>
        <w:t>E. 4.1</w:t>
      </w:r>
    </w:p>
    <w:p>
      <w:r>
        <w:t>Selon la jurisprudence du Tribunal fédéral, les constructions érigées sans autorisation doivent en principe être démolies. L'autorité doit cependant renoncer à leur démolition lorsque ces constructions ne sont pas matériellement contraires au droit de la construction et qu'elles peuvent être autorisées après coup (cf. ATF 123 II 248 consid. 3a/bb p. 252; 102 Ib consid. 4 p. 69). Il serait en effet contraire au principe de la proportionnalité d'ordonner la démolition d'une construction qui pourrait être autorisée au terme d'une procédure de régularisation (cf. ATF 108 Ia 216 consid. 4d p. 220; cf. arrêts 1C_211/2012 du 4 octobre 2013 consid. 2.6 et 1P.672/2000 du 22 février 2001 consid. 3a).</w:t>
      </w:r>
    </w:p>
    <w:p>
      <w:r>
        <w:rPr>
          <w:b/>
        </w:rPr>
        <w:t>E. 4.2</w:t>
      </w:r>
    </w:p>
    <w:p>
      <w:r>
        <w:t>A titre liminaire, il convient de rappeler que la décision communale, confirmée par celle du Conseil d'Etat, a ordonné la mise en conformité de la construction litigieuse avec le permis de construire délivré le 15 septembre 2011 et la démolition de la partie construite "en plus". L'objet du litige porte donc uniquement sur la question de la démolition de l'agrandissement non autorisé de l'extension de la villa. Les critiques formulées à l'encontre de l'autorisation de construire délivrée en 2011 sont donc irrecevables.</w:t>
      </w:r>
    </w:p>
    <w:p>
      <w:r>
        <w:t>Sur ce point, il sied d'ailleurs de relever que la Commune n'avait aucune raison de ne pas procéder à l'examen matériel du projet d'extension en 2011 dès lors qu'un document daté du 5 avril 2011 et signé par les propriétaires d'étages était joint à la demande de permis de construire déposée par les intimés. Pour les motifs exposés ci-dessous (cf. consid. 4.3), la question de savoir si la signature du recourant a été falsifiée - comme ce dernier l'a prétendu dès 2014 - n'apparaît pas déterminante dans le cadre de la présente procédure administrative.</w:t>
      </w:r>
    </w:p>
    <w:p>
      <w:r>
        <w:rPr>
          <w:b/>
        </w:rPr>
        <w:t>E. 4.3</w:t>
      </w:r>
    </w:p>
    <w:p>
      <w:r>
        <w:t>Il ressort de l'arrêt entrepris que l'extension litigieuse a été construite sur une partie commune de la propriété par étages sur laquelle les intimés ne bénéficiaient que d'une servitude de jouissance exclusive. L'instance précédente a néanmoins considéré que l'extension réalisée sans autorisation - conforme au droit matériel de la construction - pouvait en l'espèce être tolérée; l'absence d'accord unanime des propriétaires d'étages - à supposer indispensable - ne constituait pas un obstacle, sous l'angle de l'art. 45 al. 2 du règlement d'exécution du 16 octobre 1996 de la loi sur les constructions (RELConstr.; RSN 720.1), à l'octroi d'une autorisation a posteriori. L'appréciation de l'instance précédente peut être suivie. En effet, comme relevé par l'instance précédente, l'irrégularité formelle des travaux due en l'espèce à l'absence d'accord de propriétaires d'étages n'est pas un motif suffisant pour justifier la démolition de la construction réalisée; selon la jurisprudence du Tribunal fédéral, une telle mesure ne pourrait se justifier que si les travaux entrepris sans autorisation n'étaient pas conformes au droit matériel (cf. arrêt 1P.447/2002 du 27 janvier 2003 consid. 3 et les réf. cit.; cf. également consid. 4.1 ci-dessus). Or, l'instance précédente a considéré - sans que les recourants ne parviennent à démontrer le caractère arbitraire de cette constatation - que l'extension finalement réalisée de la villa ne contrevenait pas au droit matériel de la construction. Elle a en l'occurrence implicitement considéré qu'il n'existait aucun intérêt public prépondérant à ordonner la démolition d'une construction conforme au droit matériel de la construction. Les arguments avancés par les recourants - qui se prévalent en particulier de la mauvaise foi des intimés - ne permettent pas de remettre en cause cette appréciation. Certes, l'annexe finalement réalisée ne correspond pas au projet autorisé en 2011; toutefois, dans la mesure où elle ne contrevient pas aux dispositions de droit cantonal relatives aux gabarits, les recourants ne sauraient se prévaloir d'un intérêt public ou privé prépondérant à la mise en conformité de l'annexe aux plans sanctionnés en 2011. De plus, les recourants perdent de vue que même un constructeur qui n'est pas de bonne foi peut invoquer le principe de la proportionnalité.</w:t>
      </w:r>
    </w:p>
    <w:p>
      <w:r>
        <w:t>Enfin, à l'instar de l'instance précédente, il y a lieu de considérer qu'il n'appartient pas à l'autorité administrative, saisie de la question du rétablissement de l'état conforme au droit, de se prononcer sur les questions de droit privé relatives aux règles de la propriété par étages. La question de l'éventuelle falsification de signature et celle de la validité de l'accord des propriétaires d'étages ne relèvent pas de la procédure administrative; celle-ci vise uniquement à déterminer si la construction litigieuse - déjà réalisée - est conforme aux prescriptions matérielles du droit public de la construction. Les recourants ont d'ailleurs précisément fait valoir leurs prétentions fondées sur les règles de la propriété par étages par la voie de la procédure civile. C'est dans le cadre de ce litige, devant le juge civil, qu'ils obtiendront réparation si leur thèse se vérifie.</w:t>
      </w:r>
    </w:p>
    <w:p>
      <w:r>
        <w:rPr>
          <w:b/>
        </w:rPr>
        <w:t>E. 4.4</w:t>
      </w:r>
    </w:p>
    <w:p>
      <w:r>
        <w:t>Par conséquent, la décision entreprise qui renonce à exiger la remise en état des lieux ne contrevient pas au droit fédéral, en particulier au principe de la proportionnalité.</w:t>
      </w:r>
    </w:p>
    <w:p>
      <w:r>
        <w:rPr>
          <w:b/>
        </w:rPr>
        <w:t>E. 4.5</w:t>
      </w:r>
    </w:p>
    <w:p>
      <w:r>
        <w:t>Enfin, les griefs tirés de la violation des principes de l'égalité de traitement et de la légalité, brièvement soulevés par les recourants, sont irrecevables. En effet, ces derniers ne présentent en l'occurrence aucune argumentation répondant aux exigences strictes de motivation posées par l' art. 106 al. 2 LTF .</w:t>
      </w:r>
    </w:p>
    <w:p>
      <w:r>
        <w:rPr>
          <w:b/>
        </w:rPr>
        <w:t>E. 5</w:t>
      </w:r>
    </w:p>
    <w:p>
      <w:r>
        <w:t>Les recourants se plaignent également d'une violation de l'autonomie communale en tant que la Commune aurait procédé à une pesée des intérêts parfaitement légitime en sollicitant la démolition et l'ajustement de la construction illégale. Tel qu'il est formulé, ce grief se confond en réalité avec celui tiré de la violation du principe de proportionnalité qui a été examiné ci-dessus (cf. consid. 4.3-4.4).</w:t>
      </w:r>
    </w:p>
    <w:p>
      <w:r>
        <w:rPr>
          <w:b/>
        </w:rPr>
        <w:t>E. 6</w:t>
      </w:r>
    </w:p>
    <w:p>
      <w:r>
        <w:t>Enfin, les recourants se plaignent du fait que l'intégralité des frais et dépens aurait été mis à leur charge.</w:t>
      </w:r>
    </w:p>
    <w:p>
      <w:r>
        <w:t>La question de la répartition des frais et dépens relève exclusivement du droit cantonal, dont le Tribunal fédéral revoit l'application sous l'angle de l'arbitraire uniquement (cf. ATF 131 I 113 consid. 3.2 p. 115 et les arrêts cités; arrêt 1C_367/2009 du 27 octobre 2009 consid. 5). Or les recourants ne soulèvent pas le grief d'application arbitraire du droit cantonal. Ils n'exposent pas non plus, conformément aux exigences accrues de motivation (cf. consid. 3.1 ci-dessus), en quoi l'instance précédente aurait interprété ou appliqué de manière arbitraire les normes de droit cantonal en matière de frais et dépens. Faute de satisfaire aux exigences de motivation requises, leur critique est irrecevable.</w:t>
      </w:r>
    </w:p>
    <w:p>
      <w:r>
        <w:rPr>
          <w:b/>
        </w:rPr>
        <w:t>E. 7</w:t>
      </w:r>
    </w:p>
    <w:p>
      <w:r>
        <w:t>Il résulte de ce qui précède que le recours doit être rejeté, dans la mesure de sa recevabilité, aux frais des recourants qui succombent ( art. 66 al. 1 LTF ). Les intimés, qui ont agi par l'intermédiaire d'un avocat, ont par ailleurs droit à des dépens, à charge des recourants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