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1C_300/2014 vom 17. Juni 2014</w:t>
      </w:r>
    </w:p>
    <w:p>
      <w:r>
        <w:t>Bundesgericht, 2014-06-17, DE</w:t>
      </w:r>
    </w:p>
    <w:p>
      <w:r>
        <w:rPr>
          <w:b/>
        </w:rPr>
        <w:t xml:space="preserve">Quelle: </w:t>
      </w:r>
      <w:r>
        <w:t>https://mcp.opencaselaw.ch/entscheid/bger_1C_300_2014</w:t>
      </w:r>
    </w:p>
    <w:p>
      <w:r>
        <w:t>FR: TF 1C_300/2014 du 17 juin 2014</w:t>
      </w:r>
    </w:p>
    <w:p>
      <w:r>
        <w:t>IT: TF 1C_300/2014 del 17 giugno 2014</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Der Beschwerdeführer muss, wenn das nicht offensichtlich ist, darlegen, inwiefern die Sachurteilsvoraussetzungen erfüllt sein sollen. Tut er das nicht, genügt er seiner Begründungspflicht ( Art. 42 Abs. 2 BGG ) nicht und kann auf die Beschwerde nicht eingetreten werden ( BGE 134 II 120 E. 1 S. 121 mit Hinweis).</w:t>
      </w:r>
    </w:p>
    <w:p>
      <w:r>
        <w:t>Auch bei einer vereinfachten Ausführung des Rechtshilfeersuchens erlässt die zuständige Behörde eine Schlussverfügung ( Art. 80c Abs. 2 IRSG ; ROBERT ZIMMERMANN, La coopération judiciaire internationale en matière pénale, 3. Aufl. 2009, S. 388). Eine solche ist hier, wie die Beschwerdeführerin (Beschwerde S. 6 Ziff. 14) selber darlegt, noch nicht ergangen. Unter diesen Umständen ist nicht von vornherein klar, inwiefern hier ein nach Art. 90 ff. BGG anfechtbarer Entscheid vorliegen soll. Die Beschwerdeführerin hätte sich deshalb dazu äussern müssen, was sie nicht tut. Auf die Beschwerde dürfte schon deshalb nicht eingetreten werden können. Wie es sich damit verhält, kann jedoch dahingestellt bleiben.</w:t>
      </w:r>
    </w:p>
    <w:p>
      <w:r>
        <w:t>Die Beschwerde ist jedenfalls unzulässig, weil entgegen der Ansicht der Beschwerdeführerin kein besonders bedeutender Fall nach Art. 84 BGG angenommen werden kann. Die Vorinstanz gibt, wie dargelegt, zwei voneinander unabhängige Begründungen. Jedenfalls die erste (angefochtener Entscheid E. 2.3), auf welche verwiesen werden kann ( Art. 109 Abs. 3 BGG ), ist nicht zu beanstanden. Wie es sich mit der zweiten (angefochtener Entscheid E. 3) verhält, kann offen bleiben.</w:t>
      </w:r>
    </w:p>
    <w:p>
      <w:r>
        <w:rPr>
          <w:b/>
        </w:rPr>
        <w:t>E. 2</w:t>
      </w:r>
    </w:p>
    <w:p>
      <w:r>
        <w:t>Auf die Beschwerde wird deshalb nicht eingetreten.</w:t>
      </w:r>
    </w:p>
    <w:p>
      <w:r>
        <w:t>Bei diesem Ausgang des Verfahrens trägt die Beschwerdeführerin die Kosten ( Art. 66 Abs. 1 Satz 1 BGG ).</w:t>
      </w:r>
    </w:p>
    <w:p>
      <w:r>
        <w:t>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