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1C_2/2022 vom 25. Januar 2022</w:t>
      </w:r>
    </w:p>
    <w:p>
      <w:r>
        <w:t>Bundesgericht, 2022-01-25, DE</w:t>
      </w:r>
    </w:p>
    <w:p>
      <w:r>
        <w:rPr>
          <w:b/>
        </w:rPr>
        <w:t xml:space="preserve">Quelle: </w:t>
      </w:r>
      <w:r>
        <w:t>https://mcp.opencaselaw.ch/entscheid/bger_1C_2_2022</w:t>
      </w:r>
    </w:p>
    <w:p>
      <w:r>
        <w:t>FR: TF 1C_2/2022 du 25 janvier 2022</w:t>
      </w:r>
    </w:p>
    <w:p>
      <w:r>
        <w:t>IT: TF 1C_2/2022 del 25 gennaio 2022</w:t>
      </w:r>
    </w:p>
    <w:p>
      <w:pPr>
        <w:pStyle w:val="Heading2"/>
      </w:pPr>
      <w:r>
        <w:t>Erwägungen</w:t>
      </w:r>
    </w:p>
    <w:p>
      <w:r>
        <w:rPr>
          <w:b/>
        </w:rPr>
        <w:t>E. 1</w:t>
      </w:r>
    </w:p>
    <w:p>
      <w:r>
        <w:t>Am 13. April 2021 erteilte die Regierungsstatthalterin des Verwaltungskreises Frutigen-Niedersimmental der C.________ AG die Bewilligung für den Bau eines eingeschossigen unbeheizten Nebenraums auf der Parzelle Gbbl. Nr. 3241.</w:t>
      </w:r>
    </w:p>
    <w:p>
      <w:r>
        <w:t>Am 19. Mai 2021 erhoben A.A.________ und B.A.________ als Eigentümer eines Nachbargrundstücks Beschwerde an die Bau- und Verkehrsdirektion des Kantons Bern (BVD), welche sie am 22. Juni 2021 abwies, soweit sie darauf eintrat.</w:t>
      </w:r>
    </w:p>
    <w:p>
      <w:r>
        <w:t>Am 13. Dezember 2021 wies das Verwaltungsgericht des Kantons Bern die von A.A.________ und B.A.________ gegen diesen Direktionsentscheid erhobene Beschwerde ab, soweit es darauf eintrat.</w:t>
      </w:r>
    </w:p>
    <w:p>
      <w:r>
        <w:t>Mit Eingabe vom 6. Januar 2022 erheben A.A.________ und B.A.________ Beschwerde gegen das Urteil des Verwaltungsgerichts mit dem sinngemässen Antrag, es aufzuheben und die C.________ AG zu verpflichten, den Bau auf einen Grenzabstand von 6 m zurückzusetzen, falls sie sich nicht bereit erkläre, sie entweder mit 5 Mio. Franken oder 3 Mio. Franken und den Parzellen Nrn. 1208, 910 und (teilweise) 374 zu entschädigen.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Verwaltungsgericht hat sich mit dem Einwand der Beschwerdeführer, es sei ein Grenzabstand von 6 m und nicht bloss von 4 m einzuhalten, eingehend auseinandergesetzt und ihn verworfen. Es hat zudem ausgeführt, dass die Beschwerdeführer für ihre Behauptung, es sei "mit dem Naturschutz" vereinbart worden, zwischen dem Neubau und ihrer Parzelle einen 6 m breiten Grünstreifen zu belassen, keinen Beleg eingereicht hätten und eine solche Vereinbarung ohnehin nicht im Baubewilligungsverfahren zu prüfen wäre. Die Beschwerdeführer setzen sich mit diesen Erwägungen nicht sachgerecht auseinander, sondern wiederholen im Wesentlichen bloss ihre bereits vor Verwaltungsgericht vorgebrachten und von diesem verworfenen Argumente. Auf die Beschwerde ist wegen Verletzung der gesetzlichen Begründungspflicht im vereinfachten Verfahren nicht einzutreten.</w:t>
      </w:r>
    </w:p>
    <w:p>
      <w:r>
        <w:t>Auf die Erhebung von Gerichtskosten kann ausnahmsweise verzichtet werden. Eine Parteientschädigung an die Beschwerdegegnerin ist nicht zuzusprechen, da diese keinen wesentlichen Aufwand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