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1C_29/2024 vom 18. Januar 2024</w:t>
      </w:r>
    </w:p>
    <w:p>
      <w:r>
        <w:t>Bundesgericht, 2024-01-18, DE</w:t>
      </w:r>
    </w:p>
    <w:p>
      <w:r>
        <w:rPr>
          <w:b/>
        </w:rPr>
        <w:t xml:space="preserve">Quelle: </w:t>
      </w:r>
      <w:r>
        <w:t>https://mcp.opencaselaw.ch/entscheid/bger_1C_29_2024</w:t>
      </w:r>
    </w:p>
    <w:p>
      <w:r>
        <w:t>FR: TF 1C_29/2024 du 18 janvier 2024</w:t>
      </w:r>
    </w:p>
    <w:p>
      <w:r>
        <w:t>IT: TF 1C_29/2024 del 18 gennaio 2024</w:t>
      </w:r>
    </w:p>
    <w:p>
      <w:pPr>
        <w:pStyle w:val="Heading2"/>
      </w:pPr>
      <w:r>
        <w:t>Erwägungen</w:t>
      </w:r>
    </w:p>
    <w:p>
      <w:r>
        <w:rPr>
          <w:b/>
        </w:rPr>
        <w:t>E. 1</w:t>
      </w:r>
    </w:p>
    <w:p>
      <w:r>
        <w:t>Gemäss Art. 93 Abs. 2 BGG sind auf dem Gebiet der internationalen Rechtshilfe in Strafsachen Vor- und Zwischenentscheide nicht anfechtbar; vorbehalten bleiben Beschwerden gegen Entscheide u. a. über die Beschlagnahme von Vermögenswerten. Dies setzt allerdings voraus, dass kumulativ die Voraussetzungen von Art. 93 Abs. 1 BGG sowie von Art. 84 BGG erfüllt sind ( BGE 136 IV 20 E. 1.2 mit Hinweisen; MARC FORSTER, in: Basler Kommentar zum BGG, 3. Aufl., 2018, N. 25 zu Art. 84 BGG ). Art. 84 Abs. 1 BGG setzt einen besonders bedeutenden Fall voraus. Ein solcher liegt insbesondere vor, wenn Gründe für die Annahme bestehen, dass elementare Verfahrensgrundsätze verletzt worden sind oder das Verfahren im Ausland schwere Mängel aufweist.</w:t>
      </w:r>
    </w:p>
    <w:p>
      <w:r>
        <w:t>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 Vorliegend legen die anwaltlich vertretenen Beschwerdeführenden mit keinem Wort dar, weshalb hier ein besonders bedeutender Fall nach Art. 84 BGG gegeben sein soll. Dies liegt auch nicht auf der Hand.</w:t>
      </w:r>
    </w:p>
    <w:p>
      <w:r>
        <w:t>Die Beschwerdeschrift enthält somit offensichtlich keine ausreichende Begründung ( Art. 42 Abs. 2 BGG ), weshalb darauf nicht einzutreten ist.</w:t>
      </w:r>
    </w:p>
    <w:p>
      <w:r>
        <w:rPr>
          <w:b/>
        </w:rPr>
        <w:t>E. 2</w:t>
      </w:r>
    </w:p>
    <w:p>
      <w:r>
        <w:t>Unter diesen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