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29/2007 vom 27. August 2007</w:t>
      </w:r>
    </w:p>
    <w:p>
      <w:r>
        <w:t>Bundesgericht, 2007-08-27, FR</w:t>
      </w:r>
    </w:p>
    <w:p>
      <w:r>
        <w:rPr>
          <w:b/>
        </w:rPr>
        <w:t xml:space="preserve">Quelle: </w:t>
      </w:r>
      <w:r>
        <w:t>https://mcp.opencaselaw.ch/entscheid/bger_1C_29_2007</w:t>
      </w:r>
    </w:p>
    <w:p>
      <w:r>
        <w:t>FR: TF 1C 29/2007 du 27 août 2007</w:t>
      </w:r>
    </w:p>
    <w:p>
      <w:r>
        <w:t>IT: TF 1C 29/2007 del 27 agosto 2007</w:t>
      </w:r>
    </w:p>
    <w:p>
      <w:pPr>
        <w:pStyle w:val="Heading2"/>
      </w:pPr>
      <w:r>
        <w:t>Regeste</w:t>
      </w:r>
    </w:p>
    <w:p>
      <w:r>
        <w:t>retrait de permis de conduire, admonestation | Construction des routes et circulation routière</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2</w:t>
      </w:r>
    </w:p>
    <w:p>
      <w:r>
        <w:t>La voie du recours en matière de droit public, au sens des art. 82 ss LTF , est en principe ouverte contre les décisions prises en dernière instance cantonale au sujet de mesures administratives de retrait du permis de conduire. L'Office fédéral des routes a la qualité pour recourir ( art. 89 al. 2 let. a LTF en relation avec l'art. 10 al. 4 de l'ordonnance du 6 décembre 1999 sur l'organisation du Département fédéral de l'environnement, des transports, de l'énergie et de la communication [RS 172.217.1]). L'office recourant reproche au Tribunal administratif de s'être écarté de manière inadmissible des faits constatés par le juge pénal, en contradiction avec la jurisprudence selon laquelle l'autorité administrative statuant sur un retrait de permis en application des art. 16 ss LCR est en principe liée par les faits retenus dans le jugement pénal. Il se plaint donc d'une violation du droit fédéral au sens de l' art. 95 let. a LTF . Les autres conditions de recevabilité du recours étant réunies, il y a lieu d'entrer en matière.</w:t>
      </w:r>
    </w:p>
    <w:p>
      <w:r>
        <w:rPr>
          <w:b/>
        </w:rPr>
        <w:t>E. 3</w:t>
      </w:r>
    </w:p>
    <w:p>
      <w:r>
        <w:t>L'office recourant reproche au Tribunal administratif de s'être écarté de manière inadmissible des faits retenus par le juge d'instruction dans sa décision du 26 avril 2005. Sur la base de cette décision et du rapport de police, il aurait dû retenir que l'intimé s'était endormi au volant.</w:t>
      </w:r>
    </w:p>
    <w:p>
      <w:r>
        <w:rPr>
          <w:b/>
        </w:rPr>
        <w:t>E. 3.1</w:t>
      </w:r>
    </w:p>
    <w:p>
      <w:r>
        <w:t>Selon la jurisprudence,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123 II 97 consid. 3c/aa p. 104; 119 Ib 158 consid. 3c/aa p. 164; 105 Ib 18 consid. 1a p. 19; 101 Ib 270 consid. 1b p. 273 s.; 96 I 766 consid. 5 p. 774 s.).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 ATF 123 II 97 consid. 3c/aa p. 104; 121 II 214 consid. 3a p. 217 s.).</w:t>
      </w:r>
    </w:p>
    <w:p>
      <w:r>
        <w:rPr>
          <w:b/>
        </w:rPr>
        <w:t>E. 3.2</w:t>
      </w:r>
    </w:p>
    <w:p>
      <w:r>
        <w:t>En l'occurrence, la décision du juge d'instruction du 26 avril 2005 a été rendue à la suite d'une procédure sommaire, sans audition de l'intimé, et elle repose exclusivement sur le rapport de la police cantonale bernoise du 16 février 2005. Cette décision est exempte de constatation de faits et se borne à mentionner les trois infractions retenues, à savoir la conduite en état d'incapacité (« Fahren in fahrunfähigem Zustand »), la perte de maîtrise (« Nichtbeherrschen des Fahrzeugs ») et la transgression des prescriptions de l'OTR 1. Il est vrai que l'intimé n'a pas contesté cette décision, mais il convient de relever qu'il ne parle pas l'allemand et qu'il n'était pas assisté d'un avocat. Dans la mesure où il n'a pas d'antécédents, il pouvait donc croire de bonne foi que l'amende de 1'000 fr. était la sanction appropriée pour la faute qu'il reconnaît avoir commise en perdant la maîtrise de son véhicule. De plus, comme le reproche d'un assoupissement au volant ne ressort pas de la décision litigieuse, on ne pouvait exiger de l'intimé qu'il fasse valoir ses moyens dans la procédure pénale en contestant cette décision. Ce n'est en effet que dans la cadre de la procédure administrative qu'il a appris qu'un retrait de permis était envisagé en raison d'un assoupissement. Dans ces circonstances, le Tribunal administratif pouvait considérer que le dossier ne contenait pas suffisamment d'éléments pour retenir un assoupissement et on ne saurait lui reprocher d'avoir donné à l'intéressé l'occasion de s'exprimer sur cette question. Or, les explications données par celui-ci lors de l'audience du 25 janvier 2007 constituent des éléments nouveaux, qui peuvent permettre au juge administratif de s'écarter des constatations de fait du juge pénal. L'office recourant ne saurait être suivi lorsqu'il affirme que les déclarations de l'intimé faites immédiatement après l'accident ont plus de poids. Ces déclarations sont en effet sommaires et l'intimé était encore vraisemblablement sous le choc de l'accident lorsqu'il a répondu aux agents de police, ces derniers ayant en outre retranscrit ses paroles en les traduisant en allemand. On ne voit dès lors pas pour quels motifs cet élément devrait primer sur les explications que l'intimé a données directement au Tribunal administratif. Par conséquent, les règles jurisprudentielles exposées ci-dessus ne s'opposaient pas à ce que le juge administratif fasse usage de son indépendance à l'égard du juge pénal dans le cas d'espèce et le Tribunal administratif n'a pas violé le droit fédéral en appréciant lui-même les faits sur la base des nouveaux éléments recueillis.</w:t>
      </w:r>
    </w:p>
    <w:p>
      <w:r>
        <w:rPr>
          <w:b/>
        </w:rPr>
        <w:t>E. 4</w:t>
      </w:r>
    </w:p>
    <w:p>
      <w:r>
        <w:t>Il s'ensuit que le recours doit être rejeté. Il n'y a pas lieu de percevoir des frais judiciaires ( art. 66 al. 4 LTF ). L'intimé, assisté d'un avocat, a droit à des dépens, à la charge de l'Office fédéral des routes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