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298/2019 vom 21. Oktober 2019</w:t>
      </w:r>
    </w:p>
    <w:p>
      <w:r>
        <w:t>Bundesgericht, 2019-10-21, FR</w:t>
      </w:r>
    </w:p>
    <w:p>
      <w:r>
        <w:rPr>
          <w:b/>
        </w:rPr>
        <w:t xml:space="preserve">Quelle: </w:t>
      </w:r>
      <w:r>
        <w:t>https://mcp.opencaselaw.ch/entscheid/bger_1C_298_2019</w:t>
      </w:r>
    </w:p>
    <w:p>
      <w:r>
        <w:t>FR: TF 1C 298/2019 du 21 octobre 2019</w:t>
      </w:r>
    </w:p>
    <w:p>
      <w:r>
        <w:t>IT: TF 1C 298/2019 del 21 ottobre 2019</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Il convient donc d'entrer en matière sur le recours.</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déterminants se sont déroulés sous l'empire de l'ancien droit, de sorte que l'aLN s'applique.</w:t>
      </w:r>
    </w:p>
    <w:p>
      <w:r>
        <w:rPr>
          <w:b/>
        </w:rPr>
        <w:t>E. 3</w:t>
      </w:r>
    </w:p>
    <w:p>
      <w:r>
        <w:t>Sur le fond, le recourant conteste avoir obtenu la naturalisation par des déclarations mensongères. Il relève en particulier que son ex-épouse a confirmé que les problèmes conjugaux étaient apparus en avril 2015 lorsqu'il a annoncé vouloir intégrer l'armée suisse.</w:t>
      </w:r>
    </w:p>
    <w:p>
      <w:r>
        <w:rPr>
          <w:b/>
        </w:rPr>
        <w:t>E. 3.1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1C_161/2018 du 18 février 2019 consid. 4.1; 1C_436/2018 du 9 janvier 2019 consid. 4.1 et les arrêts cités).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D'après la jurisprudence, la notion de communauté conjugale au sens de l' art. 27 al. 1 let . c aLN suppose non seulement l'existence formelle d'un mariage, mais encore une véritable communauté de vie des conjoints. Tel est le cas s'il existe une volonté commune et intacte de ceux-ci de maintenir une union conjugale stable ( ATF 135 II 161 consid. 2 p. 165; 130 II 482 consid. 2 p. 484). Cette condition doit être remplie tant au moment de la demande de naturalisation facilitée qu'au moment de la décision en découlant (cf. ATF 140 II 65 consid. 2.1 p. 67; 135 II 161 consid. 2 p. 165). Une séparation survenue peu après l'octroi de la naturalisation constitue un indice de l'absence de cette volonté lors de l'obtention de la citoyenneté suisse ( ATF 135 II 161 consid. 2 p. 165; 130 II 482 consid. 2 p. 484).</w:t>
      </w:r>
    </w:p>
    <w:p>
      <w:r>
        <w:rPr>
          <w:b/>
        </w:rPr>
        <w:t>E. 3.2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s.).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En l'espèce, le Tribunal administratif fédéral a notamment constaté que la naturalisation avait été accordée au recourant par décision du 16 décembre 2014 (entrée en force en février 2015), que les époux s'étaient définitivement séparés le 31 août 2015 et que ceux-ci avaient introduit en décembre 2015 une requête commune en divorce avec accord complet qui avait été prononcé en mai 2016. Pour l'instance précédente, l'enchaînement chronologique rapide de ces éléments était de nature à fonder la présomption que la communauté conjugale des époux n'était plus stable et orientée vers l'avenir au moment de l'octroi de la naturalisation. Le recourant ne conteste aucun de ces éléments de fait. La présomption que sa naturalisation a été obtenue frauduleusement peut effectivement être admise, compte tenu de la séparation des époux intervenue environ huit mois après l'octroi de la naturalisation facilitée et la requête commune en divorce déposée seulement quatre mois plus tard (cf. notamment arrêts 1C_436/2018 du 9 janvier 2019 consid. 4.3; 1C_362/2017 du 12 octobre 2017 consid. 2.3).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3.4</w:t>
      </w:r>
    </w:p>
    <w:p>
      <w:r>
        <w:t>Pour renverser cette présomption, le recourant soutient que la séparation était due à l'annonce au printemps 2015 à son épouse de son choix de poursuivre une carrière militaire et à l'intransigeance de celle-ci qui refusait ce choix; la position intransigeante de son ex- épouse n'était pas prévisible selon lui. Il affirme en outre qu'ils ne se sont pas rendus compte de l'importance de leurs divergences et qu'ils n'étaient pas conscients de la gravité des problèmes du couple, en particulier de l'incompatibilité de son choix professionnel avec les idées antimilitaristes de son ex-épouse. Les explications du recourant ne sont toutefois pas convaincantes et ne permettent pas de renverser la présomption établie. En effet, le recourant a affirmé qu'une carrière militaire constituait un rêve d'enfant. Aussi, si les ex-époux formaient réellement un couple stable et uni, il apparaît peu crédible qu'il n'ait informé son ex-épouse de ce projet professionnel que lorsqu'il a reçu au printemps 2015 l'ordre de marche pour le recrutement, passant sous silence les démarches concrètes effectuées au préalable en ce sens (notamment, les tests passés en octobre 2014 et le courriel adressé au Conseil fédéral en janvier 2015 au sujet de sa volonté d'intégrer l'armée). Comme exposé pertinemment par l'instance précédente, l'attitude du recourant gardant secret un tel projet tend à confirmer que l'union conjugale connaissait déjà de sérieux problèmes, incitant ce dernier à ne pas partager ce projet avec son ex-épouse. L'instance précédente pouvait, à cet égard, sans arbitraire, retenir que certains éléments avaient contribué à créer un climat émotionnel tendu entre les ex-époux déjà avant l'octroi de la naturalisation; l'instance précédente soulignait notamment que le recourant avait persisté à héberger ses soeurs en 2014 malgré l'hostilité de ces dernières à l'égard de son ex-épouse, mais également qu'il ne valorisait pas les choix estudiantins et professionnels de cette dernière (cf. arrêt entrepris consid. 5.2.2). Son ex-épouse a de plus également reproché au recourant de ne pas avoir été suffisamment présent pour elle durant la maladie de sa mère. Dans son mémoire de recours, l'intéressé ne remet pas en cause ces éléments. Il reconnaît d'ailleurs expressément que la cohabitation avec ses soeurs dans l'appartement conjugal avait soulevé des problèmes; contrairement à ce que semble penser le recourant, il est sans importance qu'une telle cohabitation soit courante dans son pays d'origine. Enfin, le recourant ne parvient pas à démontrer qu'il aurait tenté d'une manière ou d'une autre de sauver son couple; le fait qu'il ait aussi rapidement et facilement accepté l'idée d'une séparation définitive tend à confirmer qu'il est peu plausible qu'il n'ait découvert la dégradation du lien conjugal qu'au printemps 2015. Les démarches entreprises par le couple en mars 2015 pour trouver un autre appartement ne sont pas, à elles seules, susceptibles de modifier cette appréciation. En définitive, les éléments avancés par le recourant ne suffisent pas à renverser la présomption établie.</w:t>
      </w:r>
    </w:p>
    <w:p>
      <w:r>
        <w:rPr>
          <w:b/>
        </w:rPr>
        <w:t>E. 3.5</w:t>
      </w:r>
    </w:p>
    <w:p>
      <w:r>
        <w:t>Par conséquent, les conditions d'application de l'art. 41 aLN sont réunies et le Tribunal administratif fédéral n'a pas violé le droit fédéral en confirmant l'annulation de la naturalisation facilitée qui avait été octroyée au recourant.</w:t>
      </w:r>
    </w:p>
    <w:p>
      <w:r>
        <w:rPr>
          <w:b/>
        </w:rPr>
        <w:t>E. 4</w:t>
      </w:r>
    </w:p>
    <w:p>
      <w:r>
        <w:t>Il s'ensuit que le recours est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