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298/2017 vom 30. April 2018</w:t>
      </w:r>
    </w:p>
    <w:p>
      <w:r>
        <w:t>Bundesgericht, 2018-04-30, FR</w:t>
      </w:r>
    </w:p>
    <w:p>
      <w:r>
        <w:rPr>
          <w:b/>
        </w:rPr>
        <w:t xml:space="preserve">Quelle: </w:t>
      </w:r>
      <w:r>
        <w:t>https://mcp.opencaselaw.ch/entscheid/bger_1C_298_2017</w:t>
      </w:r>
    </w:p>
    <w:p>
      <w:r>
        <w:t>FR: TF 1C 298/2017 du 30 avril 2018</w:t>
      </w:r>
    </w:p>
    <w:p>
      <w:r>
        <w:t>IT: TF 1C 298/2017 del 30 aprile 2018</w:t>
      </w:r>
    </w:p>
    <w:p>
      <w:pPr>
        <w:pStyle w:val="Heading2"/>
      </w:pPr>
      <w:r>
        <w:t>Regeste</w:t>
      </w:r>
    </w:p>
    <w:p>
      <w:r>
        <w:t>Permis de démolir et de construire | Aménagement du territoire et droit public des constructions</w:t>
      </w:r>
    </w:p>
    <w:p>
      <w:pPr>
        <w:pStyle w:val="Heading2"/>
      </w:pPr>
      <w:r>
        <w:t>Erwägungen</w:t>
      </w:r>
    </w:p>
    <w:p>
      <w:r>
        <w:rPr>
          <w:b/>
        </w:rPr>
        <w:t>E. 1</w:t>
      </w:r>
    </w:p>
    <w:p>
      <w:r>
        <w:t>Le recours en matière de droit public est recevable contre les décisions qui mettent fin à la procédure ( art. 90 LTF ) ou contre les décisions partielles ( art. 91 LTF ).</w:t>
      </w:r>
    </w:p>
    <w:p>
      <w:r>
        <w:rPr>
          <w:b/>
        </w:rPr>
        <w:t>E. 1.1</w:t>
      </w:r>
    </w:p>
    <w:p>
      <w:r>
        <w:t>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L'arrêt attaqué est une décision incidente vu le renvoi qu'il comporte à l'autorité inférieure (dispositif de l'arrêt cantonal ch. 2). Pour ce motif, le recours n'est en principe recevable qu'aux conditions de l' art. 93 al. 1 let. a ou b LTF . En l'occurrence, la cour cantonale a annulé la décision de la Municipalité et lui a renvoyé la cause pour octroi du permis de construire. Or, selon la jurisprudence, on se trouve en présence d'un préjudice irréparable, au sens de l' art. 93 al. 1 let. a LTF , lorsque la décision attaquée contient des injonctions précises et ne laisse aucune marge de manoeuvre à la commune (cf. ATF 142 II 20 consid. 1.2 p. 23 s.; 140 V 282 consid. 4.2 p. 286). Tel est le cas en l'espèce puisque la Municipalité de Lausanne est enjointe d'accorder le permis de construire sans disposer d'aucune liberté d'appréciation. Le recours de la commune est donc en principe recevable.</w:t>
      </w:r>
    </w:p>
    <w:p>
      <w:r>
        <w:rPr>
          <w:b/>
        </w:rPr>
        <w:t>E. 1.2</w:t>
      </w:r>
    </w:p>
    <w:p>
      <w:r>
        <w:t>La Municipalité de Lausanne, qui fait valoir une violation de l'autonomie dont elle bénéficie en matière d'aménagement du territoire et en droit des constructions (cf. ATF 142 I 26 consid. 3.3 p. 30), a qualité pour agir en vertu de l' art. 89 al. 2 let . c LTF. Les autres conditions de recevabilité du recours sont réunies (cf. art. 42 et 100 al. 1 LTF ), si bien qu'il y a lieu d'entrer en matière sur le fond.</w:t>
      </w:r>
    </w:p>
    <w:p>
      <w:r>
        <w:rPr>
          <w:b/>
        </w:rPr>
        <w:t>E. 2</w:t>
      </w:r>
    </w:p>
    <w:p>
      <w:r>
        <w:t>Dans un premier grief, la recourante estime que la cour cantonale a violé son droit d'être entendue ( art. 29 al. 2 Cst. ) en ne motivant pas suffisamment sa décision.</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141 V 557 consid. 3.2.1 p. 565; 134 I 83 consid. 4. 1 p. 88).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 ATF 141 V 557 précité). La violation du droit constitutionnel d'être entendu ( art. 29 al. 2 Cst. ) est examinée librement par le Tribunal fédéral, pour autant que le grief soit motivé conformément aux exigences découlant de l' art. 106 al. 2 LTF , à savoir expressément soulevé et exposé de manière claire et circonstanciée (cf. ATF 143 II 283 consid. 1.2.2 p. 286).</w:t>
      </w:r>
    </w:p>
    <w:p>
      <w:r>
        <w:rPr>
          <w:b/>
        </w:rPr>
        <w:t>E. 2.2</w:t>
      </w:r>
    </w:p>
    <w:p>
      <w:r>
        <w:t>En l'espèce, la recourante soutient que l'arrêt attaqué n'examinerait pas de façon suffisamment détaillée les griefs relatifs au refus du projet de construction de l'immeuble en application de la clause d'esthétique. Ce jugement ne ferait que comparer, de façon très brève, le projet de construction avec un immeuble du voisinage, sans invoquer les divers motifs qui auraient conduit à une telle décision. Ce seul argument invoqué sans autre explication par la recourante ne répond pas aux exigences de motivation accrues découlant de l' art. 106 al. 2 LTF , de sorte que ce grief d'ordre formel doit être déclaré irrecevable. Au demeurant, la décision attaquée est à l'évidence suffisamment motivée, celle-ci reprenant tous les griefs soulevés par la recourante tant à l'encontre de la démolition que du projet de construction. L'autorité précédente a produit une analyse détaillée des principes constitutionnels et règles applicables ainsi que de circonstances propres au cas d'espèce, et expose clairement les motifs qui l'ont poussée à autoriser la démolition et le projet de construction. Ce grief d'ordre formel est dès lors rejeté.</w:t>
      </w:r>
    </w:p>
    <w:p>
      <w:r>
        <w:rPr>
          <w:b/>
        </w:rPr>
        <w:t>E. 3</w:t>
      </w:r>
    </w:p>
    <w:p>
      <w:r>
        <w:t>Sur le fond, s'appuyant sur le préavis négatif de la Déléguée à la protection du patrimoine bâti, la Municipalité estime que le permis de démolir ne pourrait pas être accordé afin de conserver les aménagements intérieurs du café C.________, de préserver les qualités urbaines du bâtiment existant et d'assurer la conservation d'éléments identitaires propres au quartier de la Pontaise. Concernant le permis de construire litigieux, elle soutient que le projet ne répond pas aux critères d'esthétique et d'intégration. Elle reproche à la cour cantonale d'avoir substitué sa propre appréciation à la sienne. Elle se plaint d'une violation de l'autonomie communale ( art. 50 Cst. ) et d'une application arbitraire des art. 69 et 73 du règlement communal.</w:t>
      </w:r>
    </w:p>
    <w:p>
      <w:r>
        <w:rPr>
          <w:b/>
        </w:rPr>
        <w:t>E. 3.1.1</w:t>
      </w:r>
    </w:p>
    <w:p>
      <w:r>
        <w:t>Selon l' art. 50 al. 1 Cst. , l'autonomie communale est garantie dans les limites fixées par le droit cantonal. Dans le canton de Vaud, les communes jouissent d'une autonomie maintes fois reconnue lorsqu'elles définissent, par des plans, l'affectation de leur territoire, et lorsqu'elles appliquent le droit des constructions ( art. 139 al. 1 let . d Cst./VD; cf. arrêt 1C_424/2014 du 26 mai 2015 consid. 4.1.1, in RDAF 2015 I 474). Une commune reconnue autonome dans un domaine spécifique peut dénoncer tant les excès de compétence d'une autorité cantonale de recours que la violation par celle-ci des règles du droit fédéral, cantonal ou communal qui régissent la matière ( ATF 143 II 120 consid. 7.2 p. 134). Saisi du grief de la violation de l'autonomie communale, 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 ATF 136 I 395 consid. 2 p. 397; arrêt 1C_92/2015 du 18 novembre 2015 consid. 3.1.3). Lorsqu'il s'agit d'examiner l'application de clauses d'esthétique, le Tribunal fédéral fait preuve de retenue dans l'appréciation des circonstances locales. Dans ce domaine, les autorités locales disposent en effet d'un large pouvoir d'appréciation (cf. ATF 132 II 408 consid. 4.3 p. 416). C'est le cas notamment lorsqu'il s'agit de savoir si une construction ou une installation est de nature à compromettre l'aspect ou le caractère d'un site, d'une localité, d'un quartier ou d'une rue ( ATF 115 Ia 114 consid. 3d p. 118; arrêt 1C_452/2016 du 7 juin 2017).</w:t>
      </w:r>
    </w:p>
    <w:p>
      <w:r>
        <w:rPr>
          <w:b/>
        </w:rPr>
        <w:t>E. 3.1.2</w:t>
      </w:r>
    </w:p>
    <w:p>
      <w:r>
        <w:t>L'interdiction de démolir porte une atteinte importante au droit de la propriété des intimés, en tant qu'elle a pour effet de les obliger à entretenir leurs bâtiments, malgré les coûts que cela engendre. Pour être admissible, cette atteinte doit dès lors reposer sur une base légale, être justifiée par un intérêt public et être proportionnée au but visé (cf. art. 36 al. 1 à 3 Cst.). Le principe de la proportionnalité exige en outre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(cf. ATF 140 I 168 consid. 4.2.1 p. 173). Conformément au principe de la proportionnalité, une interdiction de démolir sans motifs justifiés est incompatible avec la Constitution fédérale si elle produit des effets insupportables pour le propriétaire ou ne lui assure pas un rendement acceptable (cf. ATF 126 I 219 consid. 2c in fine p. 222 et consid. 2h p. 226; arrêt 1C_52/2016 du 7 septembre 2016 consid. 2).</w:t>
      </w:r>
    </w:p>
    <w:p>
      <w:r>
        <w:rPr>
          <w:b/>
        </w:rPr>
        <w:t>E. 3.1.3</w:t>
      </w:r>
    </w:p>
    <w:p>
      <w:r>
        <w:t>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LAT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1C_92/2015 du 18 novembre 2015 consid. 3.1.3; dans ce sens: Olivier Schuler, Kognition zwischen Rechtsweggarantie und Gemeindeautonomie in bau- und planungsrechtlichen Verfahren, 2015, p. 75-77).</w:t>
      </w:r>
    </w:p>
    <w:p>
      <w:r>
        <w:rPr>
          <w:b/>
        </w:rPr>
        <w:t>E. 3.1.4</w:t>
      </w:r>
    </w:p>
    <w:p>
      <w:r>
        <w:t>En droit vaudois, un projet de construction peut être interdit sur la base de l'art. 86 LATC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Selon la jurisprudence, l'application d'une clause d'esthétique ne doit cependant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 ATF 115 Ia 114 consid. 3d p. 119; arrêt 1C_452/2016 du 7 juin 2017 consid. 3.1.3). Tel sera par exemple le cas s'il s'agit de protéger un site, un bâtiment ou un ensemble de bâtiments présentant des qualités esthétiques remarquables, qui font défaut à l'immeuble projeté ou qui mettrait en péril sa construction ( ATF 101 Ia 213 consid. 6c p. 222 s. et les arrêts cités).</w:t>
      </w:r>
    </w:p>
    <w:p>
      <w:r>
        <w:rPr>
          <w:b/>
        </w:rPr>
        <w:t>E. 3.1.5</w:t>
      </w:r>
    </w:p>
    <w:p>
      <w:r>
        <w:t>A teneur de l'art. 69 al. 1 du règlement de la commune de Lausanne, les constructions, transformations ou démolitions susceptibles de compromettre l'aspect et le caractère d'un quartier, d'un site, d'une place ou d'une rue, ou de nuire à l'aspect d'un édifice de valeur historique, culturel ou architectural sont interdites. L'alinéa 2 de cette disposition prévoit que les constructions, quelle que soit leur destination, ainsi que les aménagements qui leur sont liés doivent présenter un aspect architectural satisfaisant et s'intégrer à l'environnement. Selon l'art. 73 al. 1 de ce règlement, la direction des travaux tient à disposition la liste des bâtiments, des objets, des sites et des ensembles figurant au recensement architectural, au recensement des jardins d'intérêt historique et au recensement des ensembles bâtis. Tous travaux les concernant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 L'attribution d'une note 4 au recensement architectural s'opère, selon le Service cantonal des monuments et sites, lorsque "le bâtiment est bien intégré par son volume, sa composition et souvent sa fonction, et participant à la définition de l'identité de la localité". Un tel objet ne possède ni la qualité architecturale ni l'authenticité justifiant l'intervention de la Section des monuments et sites (SIPAL). Il nécessite néanmoins un traitement approprié et soigné afin de préserver l'image du site. Sa sauvegarde et sa mise en valeur doivent être garanties dans le cadre de la planification communale. Selon la jurisprudence cantonale non contestée par la recourante, la note 4 a un caractère purement indicatif et informatif; elle ne constitue pas une mesure de protection (Bovay/Sulliger/Pfeiffer, Aménagement du territoire, droit public des constructions et permis de construire, protection de l'environnement - Jurisprudence rendue en 2016 par la Cour de droit administratif et public du Tribunal cantonal vaudois, in RDAF 2017 I p. 132 s.). Elle est en revanche un élément d'appréciation important pour les autorités chargées de l'aménagement du territoire, notamment dans la procédure de permis de construire, lorsque ces autorités appliquent les règles concernant l'intégration et l'esthétique des constructions.</w:t>
      </w:r>
    </w:p>
    <w:p>
      <w:r>
        <w:rPr>
          <w:b/>
        </w:rPr>
        <w:t>E. 3.2.1</w:t>
      </w:r>
    </w:p>
    <w:p>
      <w:r>
        <w:t>En l'occurrence, l'interdiction de démolir porte une atteinte au droit fondamental de la garantie de la propriété des intimés. La Muni-cipalité soutient que cette atteinte serait admissible, dès lors que la préservation des bâtiments existants constituerait un intérêt prévalant sur celui des copropriétaires. Les bâtiments existants ont reçu la note 4 au recensement architectural et on se trouve dans un objectif de sauvegarde C de l'ISOS, à savoir un objectif préconisant la sauvegarde du caractère, le maintien de l'équilibre entre les constructions anciennes et nouvelles, ainsi que la sauvegarde intégrale des éléments essentiels pour la conservation du caractère (cf. arrêt 1C_452/2016 du 7 juin 2017 consid. 3.2 a contrario où un objectif de protection A était institué). La valeur patrimoniale de ces bâtiments est incontestée. Néanmoins, selon la jurisprudence cantonale (Bovay/Sulliger/Pfeiffer, op. cit., p. 132 s.), cet intérêt seul ne peut pas empêcher leur démolition. La cour cantonale a présenté un exposé détaillé des intérêts de chaque partie. La Municipalité n'a, pour sa part, pas pris en compte l'intérêt financier des intimés lors de sa prise de décision, notamment la rentabilité des rénovations à entreprendre, critère qui est pourtant important. Selon les constatations non contestées de l'arrêt attaqué, l'immeuble est vétuste, les appartements sont anciens, les salles de bains désuètes, les cuisines ne sont pas aménagées et l'installation électrique et sanitaire est obsolète. Par ailleurs, la toiture est d'époque et l'immeuble n'est plus conforme au normes de sécurité. La structure de l'édifice est en outre instable, de sorte qu'une rénovation totale devrait être entreprise selon les experts. Une analyse des coûts financiers pour des rénovations d'une telle ampleur a été effectuée et le résultat montre que ces travaux nécessaires ne seraient pas rentables. C'est donc au terme d'un examen circonstancié que la cour cantonale a reconnu que l'intérêt financier des intimés devait prévaloir. Par ailleurs, la cour cantonale a constaté, à l'occasion d'une vision locale, que le Café C.________ présentait effectivement certaines caractéristiques patrimoniales intéressantes. Toutefois, l'aménagement intérieur du café a fait l'objet d'une rénovation importante qui a conduit à une modification radicale de l'atmosphère de cet ancien bistrot populaire. La Municipalité ne conteste pas ces faits. Dès lors, le grief visant à interdire la démolition du bâtiment afin de préserver, entre autres, l'intérieur du café perd de son sens au vu des rénovations qui ont déjà été entreprises. Dans ce même sens, la Municipalité prétend vouloir préserver les qualités urbaines du bâtiment existant et assurer la conservation d'éléments identitaires au quartier de la Pontaise. Or il ressort de l'arrêt cantonal et des pièces du dossier que l'unité architecturale formée par les bâtiments situés au sud de l'îlot est rompue par la présence, au nord, de deux immeubles modernes témoins d'un autre siècle. Dès lors, le quartier présente déjà des disparités architecturales, de sorte que le caractère particulier du quartier a déjà été compromis. Dans ces circonstances, en faisant fi de l'intérêt patrimonial lié au projet litigieux pour refuser l'autorisation de démolir, la recourante a consacré une solution portant une atteinte disproportionnée à la garantie de la propriété que le Tribunal cantonal pouvait légitimement sanctionner (arrêt 1C_452/2016 du 7 juin 2017 consid. 3.6 in fine ). Dans cet arrêt invoqué par la recourante, la situation était différente dès lors que la question de la rentabilité du bâtiment n'avait pas été évoquée. Ce dernier point joue précisément un rôle primordial dans le cas d'espèce. Au demeurant, c'est à juste titre que les intimés soulèvent qu'il existe également un intérêt public prépondérant à autoriser la démolition, à savoir celui de densifier les centres urbains, conformément à ce que prescrivent désormais la loi sur l'aménagement du territoire (art. 3 al. 3 let. a bis LAT; RS 700) et le plan directeur cantonal.</w:t>
      </w:r>
    </w:p>
    <w:p>
      <w:r>
        <w:rPr>
          <w:b/>
        </w:rPr>
        <w:t>E. 3.2.2</w:t>
      </w:r>
    </w:p>
    <w:p>
      <w:r>
        <w:t>La recourante estime enfin que le projet de construction ne répondrait pas aux critères d'esthétique et d'intégration. Elle soutient que la toiture plate en double attique proposée ne s'intégrerait pas avec le voisinage. Elle reproche également la proposition d'appartements au rez-de-chaussée avec un jardinet en lien direct avec le trottoir. Elle invoque aussi l'absence d'activités commerciales au rez-de-chaussée. L'obstacle à la réalisation du projet de construction résiderait dès lors dans la clause d'esthétique invoquée par la recourante. En l'occurrence, la cour cantonale a estimé que la Municipalité avait abusé de son pouvoir d'appréciation en refusant d'autoriser la construction car il n'existerait pas de base réglementaire communale suffisamment précise permettant de refuser ce projet. En effet, aucune réglementation communale n'interdit de prévoir des appartements au rez-de-chaussée, avec un jardinet privatif, ni n'impose le maintien d'une activité commerciale. Ces questions n'ont d'ailleurs aucun rapport avec la clause d'esthétique. Quant à l'impact sur l'environnement bâti, le quartier présente déjà des différences notables comme l'a relevé l'instance précédente en se fondant sur des constatations de fait incontestées. Dès lors, elle n'a pas substitué son appréciation à celle de la commune de manière abusive. Elle a au contraire constaté que le refus du permis revenait, sans être fondé sur des motifs pertinents, à refuser d'appliquer les règles de construction de la zone et, ainsi, à densifier vers le centre, comme l'impose désormais le droit fédéral.</w:t>
      </w:r>
    </w:p>
    <w:p>
      <w:r>
        <w:rPr>
          <w:b/>
        </w:rPr>
        <w:t>E. 4</w:t>
      </w:r>
    </w:p>
    <w:p>
      <w:r>
        <w:t>Sur le vu de ce qui précède, le recours est rejeté dans la mesure de sa recevabilité. Conformément à l' art. 66 al. 4 LTF , il n'est pas perçu de frais judiciaires. La commune de Lausanne versera aux intimés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