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1C_298/2014 vom 12. Juni 2014</w:t>
      </w:r>
    </w:p>
    <w:p>
      <w:r>
        <w:t>Bundesgericht, 2014-06-12, FR</w:t>
      </w:r>
    </w:p>
    <w:p>
      <w:r>
        <w:rPr>
          <w:b/>
        </w:rPr>
        <w:t xml:space="preserve">Quelle: </w:t>
      </w:r>
      <w:r>
        <w:t>https://mcp.opencaselaw.ch/entscheid/bger_1C_298_2014</w:t>
      </w:r>
    </w:p>
    <w:p>
      <w:r>
        <w:t>FR: TF 1C_298/2014 du 12 juin 2014</w:t>
      </w:r>
    </w:p>
    <w:p>
      <w:r>
        <w:t>IT: TF 1C_298/2014 del 12 giugno 2014</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Dans deux arrêts du 26 mai 2014, le Tribunal fédéral a déclaré irrecevables des recours concernant des demandes d'entraide judiciaire présentées dans le même contexte par les Etats-Unis (1C_248/ 2014) et la Norvège (1C_202/2014). Dans les deux cas, les recourants invoquaient le principe "ne bis in idem" tel qu'il découle de l'art. 54 de la Convention d'application de l'Accord Schengen (CAAS), en relevant qu'un jugement d'acquittement avait été prononcé à Londres le 10 décembre 2013 en faveur de AA.________. Le Tribunal fédéral a refusé d'y voir une question de principe: si la disposition précitée imposait à un Etat membre de tenir compte d'un jugement d'acquittement rendu dans un autre Etat membre, elle n'empêchait pas une transmission de renseignements en exécution d'une demande d'entraide judiciaire. Les procédures pénales aux Etats-Unis et en Norvège étaient également dirigées contre d'autres personnes. Dans ce cas, l'application du principe "ne bis in idem" devait être laissée à l'appréciation - et à la responsabilité - de l'Etat requérant.</w:t>
      </w:r>
    </w:p>
    <w:p>
      <w:r>
        <w:rPr>
          <w:b/>
        </w:rPr>
        <w:t>E. 1.3</w:t>
      </w:r>
    </w:p>
    <w:p>
      <w:r>
        <w:t>Les recourants remettent en cause cette appréciation et soutiennent que le cas d'espèce serait différent puisque le recours émane de la personne acquittée à l'étranger et que la demande d'entraide a été présentée par un Etat membre de l'espace Schengen. Les recourants estiment que l'interdiction d'une double poursuite pénale devrait empêcher l'octroi de l'entraide judiciaire par la Suisse.</w:t>
      </w:r>
    </w:p>
    <w:p>
      <w:r>
        <w:t>Contrairement à ce qu'ils prétendent, le présent cas ne diffère pas sur ce point des deux précédents, dont il n'y a par ailleurs pas de raison de s'écarter. On peut certes se demander si l'entraide ne devrait pas être refusée lorsqu'il apparaît d'emblée que les personnes et les faits poursuivis sont rigoureusement identiques à ceux qui ont déjà fait l'objet d'un jugement d'acquittement prononcé dans un Etat partie. Tel n'est toutefois pas le cas en l'occurrence. Les renseignements transmis par la voie de l'entraide judiciaire peuvent en effet servir à découvrir les autres participants à une infraction, y compris des personnes morales (cf. art. 66 al. 2 et 67 al. 2 let. b EIMP). Les recourants soutiennent que la société impliquée ne formerait qu'une seule personne avec AA.________. L'autorité suisse d'entraide n'a toutefois pas les moyens d'en juger, de sorte que la question doit être laissée le cas échéant à l'appréciation des autorités de l'Etat requérant. La Cour des plaintes mentionne également deux autres sociétés potentiellement impliquées et l'argumentation à décharge soulevée par les recourants à ce propos est irrelevante dans le contexte de l'entraide judiciaire. Il n'est enfin pas exclu que les infractions poursuivies (notamment celle de blanchiment) soient différentes de celles qui ont fait l'objet du jugement à Londres.</w:t>
      </w:r>
    </w:p>
    <w:p>
      <w:r>
        <w:t>Le principe "ne bis in idem", qu'il découle de l'art. 45 CAAS ou des règles spécifiquement applicables à l'entraide judiciaire, ne fait donc pas obstacle à la collaboration de la Suisse. Comme cela est relevé dans les arrêts précédents, l'application de ce principe doit être laissée à l'appréciation et à la responsabilité de l'Etat requérant, lui aussi partie à la CAAS. Il n'y a donc pas non plus de réserve à formuler à cet égard. La présente cause ne soulève aucune question de principe.</w:t>
      </w:r>
    </w:p>
    <w:p>
      <w:r>
        <w:rPr>
          <w:b/>
        </w:rPr>
        <w:t>E. 2</w:t>
      </w:r>
    </w:p>
    <w:p>
      <w:r>
        <w:t>Sur le vu de ce qui précède, le recours est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