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297/2007 vom 4. Dezember 2007</w:t>
      </w:r>
    </w:p>
    <w:p>
      <w:r>
        <w:t>Bundesgericht, 2007-12-04, DE</w:t>
      </w:r>
    </w:p>
    <w:p>
      <w:r>
        <w:rPr>
          <w:b/>
        </w:rPr>
        <w:t xml:space="preserve">Quelle: </w:t>
      </w:r>
      <w:r>
        <w:t>https://mcp.opencaselaw.ch/entscheid/bger_1C_297_2007</w:t>
      </w:r>
    </w:p>
    <w:p>
      <w:r>
        <w:t>FR: TF 1C 297/2007 du 4 décembre 2007</w:t>
      </w:r>
    </w:p>
    <w:p>
      <w:r>
        <w:t>IT: TF 1C 297/2007 del 4 dicembre 2007</w:t>
      </w:r>
    </w:p>
    <w:p>
      <w:pPr>
        <w:pStyle w:val="Heading2"/>
      </w:pPr>
      <w:r>
        <w:t>Regeste</w:t>
      </w:r>
    </w:p>
    <w:p>
      <w:r>
        <w:t>Bewilligung einer Plakatstelle | Raumplanung und öffentliches Baurecht</w:t>
      </w:r>
    </w:p>
    <w:p>
      <w:pPr>
        <w:pStyle w:val="Heading2"/>
      </w:pPr>
      <w:r>
        <w:t>Erwägungen</w:t>
      </w:r>
    </w:p>
    <w:p>
      <w:r>
        <w:rPr>
          <w:b/>
        </w:rPr>
        <w:t>E. 1.1</w:t>
      </w:r>
    </w:p>
    <w:p>
      <w:r>
        <w:t>Der angefochtene Entscheid ist nach Inkrafttreten des Bundesgerichtsgesetzes (BGG; SR 173.110) ergangen. Die vorliegende Beschwerde ist danach zu behandeln ( Art. 132 Abs. 1 BGG ). Gegen den letztinstanzlichen kantonalen Entscheid ist die Beschwerde in öffentlich-rechtlichen Angelegenheiten zulässig, da kein Ausschlussgrund gemäss Art. 83 BGG zum Zuge kommt. Da auch die übrigen Sachurteilsvoraussetzungen vorliegen, ist auf die Beschwerde grundsätzlich einzutreten.</w:t>
      </w:r>
    </w:p>
    <w:p>
      <w:r>
        <w:rPr>
          <w:b/>
        </w:rPr>
        <w:t>E. 1.2</w:t>
      </w:r>
    </w:p>
    <w:p>
      <w:r>
        <w:t>Die Beschwerde kann wegen Rechtsverletzung gemäss Art. 95 und Art. 96 BGG erhoben werden. In Ergänzung zu den Rügen, die sich auf Art. 95 f. BGG stützen, sind unter den engen Voraussetzungen von Art. 97 Abs. 1 BGG auch Vorbringen gegen die Sachverhaltsfeststellung zulässig. Ein solcher Einwand kann nach der letztgenannten Bestimmung jedoch nur erhoben werden, wenn die Feststellung des Sachverhalts durch die Vorinstanz offensichtlich unrichtig, d.h. willkürlich, ist oder auf einer Rechtsverletzung im Sinne von Art. 95 BGG beruht und wenn die Behebung des Mangels für den Ausgang des Verfahrens entscheidend sein kann. Die Rüge, im Rahmen der Sachverhaltsfeststellung sei der grundrechtliche Anspruch auf rechtliches Gehör verletzt worden, kann jedoch uneingeschränkt erhoben werden (vgl. Regina Kiener, Beschwerde in öffentlich-rechtlichen Angelegenheiten, in: Neue Bundesrechtspflege, Berner Tage für die juristische Praxis, BTJP 2006, Bern 2007, S. 277; Urteil 1C_14/2007 des Bundesgerichts vom 9. Oktober 2007, E. 3).</w:t>
      </w:r>
    </w:p>
    <w:p>
      <w:r>
        <w:rPr>
          <w:b/>
        </w:rPr>
        <w:t>E. 2</w:t>
      </w:r>
    </w:p>
    <w:p>
      <w:r>
        <w:t>Die Beschwerdeführerin rügt in erster Linie eine Verletzung des rechtlichen Gehörs, weil das Verwaltungsgericht von der Durchführung eines Augenscheins abgesehen und gestützt auf die Akten resp. die darin enthaltenen Fotos entschieden hat.</w:t>
      </w:r>
    </w:p>
    <w:p>
      <w:r>
        <w:rPr>
          <w:b/>
        </w:rPr>
        <w:t>E. 2.1</w:t>
      </w:r>
    </w:p>
    <w:p>
      <w:r>
        <w:t>Der Anspruch auf rechtliches Gehör ist formeller Natur. Seine Verletzung führt ungeachtet der Erfolgsaussichten der Beschwerde in der Sache selbst zur Aufhebung des angefochtenen Entscheids ( BGE 127 V 431 E. 3d/aa S. 437 ; 126 I 19 E. 2d/bb S. 24 ; 125 I 113 E. 3 S. 118). Deshalb ist diese Rüge vorab zu behandeln.</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 126 I 15 E. 2a/aa S. 16 ; 124 I 49 E. 3a S. 51, 241 E. 2 S. 242, je mit Hinweisen). Aus dem Anspruch auf rechtliches Gehör folgt auch, dass der Richter rechtzeitig und formrichtig angebotene erhebliche Beweismittel abzunehmen hat ( BGE 122 I 53 E. 4a mit Hinweisen). Dies verwehrt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130 II 425 E. 2.1 S. 429 ; 125 I 127 E. 6c/cc S. 135, 417 E. 7b S. 430 ; 124 I 208 E. 4a S. 211; 122 II 464 E. 4a S. 469, je mit Hinweisen).</w:t>
      </w:r>
    </w:p>
    <w:p>
      <w:r>
        <w:rPr>
          <w:b/>
        </w:rPr>
        <w:t>E. 2.3</w:t>
      </w:r>
    </w:p>
    <w:p>
      <w:r>
        <w:t>Das Verwaltungsgericht hat es abgelehnt, sich vor Ort einen Eindruck vom vorgesehenen Standort des umstrittenen Plakats zu verschaffen. Es befand, der entscheidwesentliche Sachverhalt ergebe sich hinlänglich aus den Akten. Es hat dabei insbesondere auf den Grundbuchplan 1:500 vom 14. April 2003 und das Fotoblatt vom 14. August 2003 abgestellt. Die Beschwerdeführerin bringt dagegen vor, aus den Akten lasse sich weder das Ortsbild noch die Wirkung der Überhöhe der nachgesuchten Plakatstelle, noch die angebliche Häufung mit bestehenden Plakatstellen bzw. deren Ortsbildverträglichkeit schlüssig beurteilen. Dem ist zu widersprechen. Einerseits liegt den Akten ein Situationsplan bei, auf welchem sämtliche (damaligen) Plakatanschlagstellen in der näheren Umgebung des nachgesuchten Standortes eingezeichnet sind (act. 3 der stadträtlichen Belege, S. 9). Desgleichen ist die Situation fotografisch dokumentiert (act. 3 S. 10 der stadträtlichen Belege). Aufgrund der zusätzlichen Fotomontage (act. 4.2 der stadträtlichen Belege), welche aufzeigt, wo und wie die geplante Plakatstelle der Beschwerdeführerin zu stehen kommen sollte, durfte das Verwaltungsgericht willkürfrei davon ausgehen, dass die Akten ein aussagekräftiges Bild von der rechtlich relevanten Situation vermittelten. Es ist ihm in diesem Zusammenhang auch nicht vorzuwerfen, wenn es sich aufgrund des weiten Ermessens, welches dem Stadtrat bei der Beurteilung von Ästhetikvorschriften zukommt, bei der Würdigung der örtlichen Verhältnisse eine gewisse Zurückhaltung auferlegt hat. Daran ändert nichts, dass das Verwaltungsgericht gemäss § 161a des Gesetzes über die Verwaltungsrechtspflege (VRG/LU; SRL Nr. 40) auch das Ermessen prüft, wenn es einzige kantonale Rechtsmittelinstanz ist. Diese Berücksichtigung des stadträtlichen Beurteilungsrahmens entspricht der bundesgerichtlichen Praxis, wenn es um ausgesprochene Ermessensfragen geht ( BGE 119 Ia 348 E. 2a S. 353, 445 E. 3c S. 451, mit Hinweisen).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 BGE 133 II 35 E. 3 S. 39; 127 II 238 E. 3b/aa S. 242; 123 II 210 E. 2c S. 212 f.).</w:t>
      </w:r>
    </w:p>
    <w:p>
      <w:r>
        <w:rPr>
          <w:b/>
        </w:rPr>
        <w:t>E. 2.4</w:t>
      </w:r>
    </w:p>
    <w:p>
      <w:r>
        <w:t>Demzufolge hat das Verwaltungsgericht das rechtliche Gehör der Beschwerdeführerin nicht verletzt, indem es auf einen Augenschein verzichtet hat.</w:t>
      </w:r>
    </w:p>
    <w:p>
      <w:r>
        <w:rPr>
          <w:b/>
        </w:rPr>
        <w:t>E. 3.1</w:t>
      </w:r>
    </w:p>
    <w:p>
      <w:r>
        <w:t>Des Weitern wirft die Beschwerdeführerin dem Verwaltungsgericht eine willkürliche Feststellung des Sachverhaltes vor. Sie macht sinngemäss geltend, anlässlich der Einreichung der Beschwerde beim Verwaltungsgericht am 12. Januar 2007 hätten schräg gegenüber der beantragten Stelle in etwa 30 m Entfernung neun F4-Formate (89,5 x 128 cm, zusammengefasst an drei F12-Trägern) gestanden. Diese Plakatstelle habe einer anderen Plakatgesellschaft gehört. Im Rahmen eines Augenscheins, welche die Beschwerdeführerin im Hinblick auf ihre Beschwerdeführung ans Bundesgericht vorgenommen habe, habe sie festgestellt, dass die erwähnten Plakate inzwischen vollständig entfernt worden seien. Gemäss ihrer Erkundigung sei dies am 17. Januar 2007 geschehen, zu einem Zeitpunkt also, als das Verfahren bereits beim Verwaltungsgericht hängig gewesen sei.</w:t>
      </w:r>
    </w:p>
    <w:p>
      <w:r>
        <w:rPr>
          <w:b/>
        </w:rPr>
        <w:t>E. 3.2</w:t>
      </w:r>
    </w:p>
    <w:p>
      <w:r>
        <w:t>Das Verwaltungsgericht nimmt in seiner Vernehmlassung ans Bundesgericht zu diesem Vorhalt nicht Stellung. Die Beschwerdeführerin indes legt ihren Ausführungen die schriftliche Bestätigung der X.________ AG, Bern, vom 14. September 2007 bei, wonach deren Plakatstelle mit neun F4-Flächen (auf drei F12-Trägern) auf der Westseite der Fruttstrasse am 17. Januar 2007 definitiv entfernt worden sei. Demnach ist davon auszugehen, dass die neun Plakate (auf drei F12-Trägern), welche sich in unmittelbarer Nähe des umstrittenen Standortes (schräg versetzt auf der gegenüberliegenden Strassenseite, ca. 20-30 m entfernt) befanden, im Zeitpunkt des vorinstanzlichen Entscheids geräumt waren. Dies ist insofern relevant, als das Verwaltungsgericht die Argumentation des Stadtrates geschützt hatte, welcher seinerseits eine unerwünschte Reklamehäufung auf dem entsprechenden Strassenabschnitt bemängelt hatte. Das Verwaltungsgericht zitiert dazu § 140 Abs. 1 des Planungs- und Baugesetzes vom 7. März 1989 (PBG/LU; SRL Nr. 735), gemäss welchem sich Bauten und Anlagen in die bauliche und landschaftliche Umgebung einzugliedern haben. Sie sind zu untersagen, wenn sie durch ihre Grösse, Proportion, Gestaltung, Bauart, Dachform oder Farbe das Orts- und Landschaftsbild beeinträchtigen. Nach dem ebenfalls vom Verwaltungsgericht genannten § 15 Abs. 1 lit. b der Reklameverordnung vom 3. Juni 1997 (SRL Nr. 739) sind Reklamen verboten, wenn sie durch ihre Ausgestaltung oder Häufung das Orts- oder Landschaftsbild beeinträchtigen. Die Vorinstanzen haben denn ihren abschlägigen Entscheid auch massgeblich auf diese Bestimmungen gestützt und unter anderem die "verpönte Reklamehäufung" als Argument gegen das Vorhaben der Beschwerdeführerin ins Feld geführt. Steht nun fest, dass drei F12-Träger mit insgesamt neun Plakaten des Formats F4 in unmittelbarer Nähe der von der Beschwerdeführerin beantragten Anschlagstelle entfernt worden sind, kann dies allenfalls zu einer anderen Beurteilung der Bewilligungsfähigkeit führen. Auch wenn nicht ausgeschlossen ist, dass die übrigen vom Verwaltungsgericht in Erwägung gezogenen Ablehnungsgründe wie die Überhöhe und die Anordnung (quer zur Strasse) der Reklametafel wiederum zu einer Ablehnung des Gesuchs führen können, stellt die unrichtige Sachverhaltsfeststellung vorliegend doch einen Mangel dar, welcher die Aufhebung des angefochtenen Urteils zur Folge haben muss.</w:t>
      </w:r>
    </w:p>
    <w:p>
      <w:r>
        <w:rPr>
          <w:b/>
        </w:rPr>
        <w:t>E. 4</w:t>
      </w:r>
    </w:p>
    <w:p>
      <w:r>
        <w:t>Demzufolge ist die Beschwerde gutzuheissen und das angefochtene Urteil aufzuheben. Die Angelegenheit ist an das Verwaltungsgericht zu einem neuen Entscheid im Lichte der geänderten Ausgangslage zurückzuweisen. Bei diesem Verfahrensausgang sind keine Kosten zu erheben ( Art. 66 Abs. 4 BGG ). Indes hat die Stadt Luzern die Beschwerdeführerin für das bundesgerichtliche Verfahren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