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1C_296/2022 vom 7. Juni 2023</w:t>
      </w:r>
    </w:p>
    <w:p>
      <w:r>
        <w:t>Bundesgericht, 2023-06-07, FR</w:t>
      </w:r>
    </w:p>
    <w:p>
      <w:r>
        <w:rPr>
          <w:b/>
        </w:rPr>
        <w:t xml:space="preserve">Quelle: </w:t>
      </w:r>
      <w:r>
        <w:t>https://mcp.opencaselaw.ch/entscheid/bger_1C_296_2022</w:t>
      </w:r>
    </w:p>
    <w:p>
      <w:r>
        <w:t>FR: TF 1C_296/2022 du 7 juin 2023</w:t>
      </w:r>
    </w:p>
    <w:p>
      <w:r>
        <w:t>IT: TF 1C_296/2022 del 7 giugno 2023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Il n'est pas contesté que les recourants résident à l'intérieur du périmètre de protection défini par la jurisprudence ( ATF 133 I 409 consid. 1.3; 128 II 168 consid. 2.3) et sont donc particulièrement touchés par l'arrêt attaqué qui autorise l'installation litigieuse; ils peuvent ainsi se prévaloir d'un intérêt personnel et digne de protection à son annulation ou à sa modification et ont dès lors qualité pour agir au sens de l'art. 89 al. 1 let. b et c LTF, étant précisé qu'ils ont tous participé à la procédure devant la cour cantonale ( art. 89 al. 1 let. a LTF ).</w:t>
      </w:r>
    </w:p>
    <w:p>
      <w:r>
        <w:t>Les autres conditions de recevabilité sont remplies si bien qu'il convient d'entrer en matière sur le recours en matière de droit public.</w:t>
      </w:r>
    </w:p>
    <w:p>
      <w:r>
        <w:rPr>
          <w:b/>
        </w:rPr>
        <w:t>E. 2</w:t>
      </w:r>
    </w:p>
    <w:p>
      <w:r>
        <w:t>Se plaignant d'une violation de l'ORNI, les recourants considèrent que si la pratique actuelle est appropriée pour les antennes de téléphonie mobile conventionnelles, elle ne serait plus adaptée pour les antennes 5G qui modulent leur faisceau et pour lesquelles il suffit que la puissance d'émission moyenne sur 6 minutes ne dépasse pas la puissance d'émission autorisée. Il en résulterait que les antennes adaptatives pourraient fréquemment dépasser temporairement les valeurs limites, contrairement au principe de prévention ( art. 74 al. 2 Cst. et 11 LPE). Un strict respect des valeurs de l'ORNI s'imposerait d'autant plus que les effets nocifs du rayonnement de ce type d'antennes sont dénoncés par la communauté scientifique, et que plusieurs antennes sont situées à 70 m (avec une antenne 5G), 130 m et 230 m. Une planification de ce type d'installation serait dès lors hautement souhaitable.</w:t>
      </w:r>
    </w:p>
    <w:p>
      <w:r>
        <w:rPr>
          <w:b/>
        </w:rPr>
        <w:t>E. 2.1</w:t>
      </w:r>
    </w:p>
    <w:p>
      <w:r>
        <w:t>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Les valeurs limites sont fixées par le Conseil fédéral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La jurisprudence constante considère que le principe de prévention est réputé assuré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 Il appartient toutefois à l'autorité fédérale spécialisée, soit l'OFEV, de suivre l'évolution de la recherche et des connaissances en la matière. Cela étant, vu la marge de manoeuvre dont dispose le Conseil fédéral s'agissant de l'établissement des valeurs limites, seuls de solides éléments démontrant de nouvelles connaissances fondées scientifiquement justifient de remettre en cause ces valeurs (arrêts 1C_518/2018 précité consid. 5.1.1 et les arrêts cités; 1C_323/2017 du 15 janvier 2018 consid. 2.5).</w:t>
      </w:r>
    </w:p>
    <w:p>
      <w:r>
        <w:rPr>
          <w:b/>
        </w:rPr>
        <w:t>E. 2.2</w:t>
      </w:r>
    </w:p>
    <w:p>
      <w:r>
        <w:t>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 des critères de l' art. 11 al. 2 LPE , soit de l'état de la technique, des conditions d'exploitation et du caractère économiquement supportable, afin de réduire au maximum le risque d'effets nocifs, dont certains ne sont que supposés et pas encore prévisibles ( ATF 126 II 399 consid. 3b). En fixant les valeurs limites de l'installation, le Conseil fédéral a ménagé une marge de sécurité afin de prévenir les dangers avérés pour la santé (cf. ATF 128 II 378 consid. 6.2.2). L'autorité compétente, soit l'OFEV, continue à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 1C_518/2018 précité consid. 5.1.1 et les arrêts cités).</w:t>
      </w:r>
    </w:p>
    <w:p>
      <w:r>
        <w:rPr>
          <w:b/>
        </w:rPr>
        <w:t>E. 2.3</w:t>
      </w:r>
    </w:p>
    <w:p>
      <w:r>
        <w:t>L'ORNI a été complétée par une modification du 17 avril 2019, notamment par l'article 19b (RO 2019 1491). L'OFEV,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Etudes de mesures - ch. 6.2 -, Mesures et simulations réalisées par l'OFCOM - ch. 6.3). L'accent est mis sur la charge de rayonnement non ionisant due aux installations réglementées par l'ORNI (OFEV, Explications relatives à la modification de l'ORNI, Paquet d'ordonnances sur l'environnement, printemps 2019, 17 avril 2019, p. 7). Dans ses déterminations, l'OFEV relève que ce monitoring renforcera les bases scientifiques pour l'étude des effets sur la santé de la population et pourrait notamment être utile pour des études épidémiologiques.</w:t>
      </w:r>
    </w:p>
    <w:p>
      <w:r>
        <w:t>En l'état des connaissances, la limitation préventive des émissions par l'application des valeurs limites actuelles respecte le principe de prévention (arrêt 1C_100/2021 du 14 février 2023 consid. 5 et les nombreuses autres références aux études et articles récents sur ce sujet).</w:t>
      </w:r>
    </w:p>
    <w:p>
      <w:r>
        <w:rPr>
          <w:b/>
        </w:rPr>
        <w:t>E. 2.4</w:t>
      </w:r>
    </w:p>
    <w:p>
      <w:r>
        <w:t>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w:t>
      </w:r>
    </w:p>
    <w:p>
      <w:r>
        <w:t>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(RO 2019 1491). Le ch. 62 al. 6 de l'annexe 1 ORNI du 17 décembre 2021 (RO 2021 901)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w:t>
      </w:r>
    </w:p>
    <w:p>
      <w:r>
        <w:t>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w:t>
      </w:r>
    </w:p>
    <w:p>
      <w:r>
        <w:t>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w:t>
      </w:r>
    </w:p>
    <w:p>
      <w:r>
        <w:t>Comme l'a relevé le Tribunal fédéral dans son arrêt de principe récent (1C_100/2021 précité du 14 février 2023 consid. 6.2.2), la position de l'autorité compétente n'est pas contestable: alors que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w:t>
      </w:r>
    </w:p>
    <w:p>
      <w:r>
        <w:rPr>
          <w:b/>
        </w:rPr>
        <w:t>E. 2.5</w:t>
      </w:r>
    </w:p>
    <w:p>
      <w:r>
        <w:t>Selon l'arrêt cantonal, l'opérateur a expressément indiqué durant la procédure qu'il renonçait a faire fonctionner les installations litigieuses en mode adaptatif. Il en résulte que le facteur de correction prévu au ch. 63 al. 2 et 3 annexe 1 ORNI pour définir le mode d'exploitation déterminant, n'a pas été appliqué. Le diagramme d'antenne a ainsi été établi selon le "scénario du pire" applicable aux antennes conventionnelles, et les recourants ne contestent pas les valeurs d'immissions calculées dans la fiche de données spécifique pour chaque LUS déterminant.</w:t>
      </w:r>
    </w:p>
    <w:p>
      <w:r>
        <w:rPr>
          <w:b/>
        </w:rPr>
        <w:t>E. 2.5.1</w:t>
      </w:r>
    </w:p>
    <w:p>
      <w:r>
        <w:t>Invoquant leur droit d'être entendus et le droit d'accès au juge, les recourants estiment que la cour cantonale ne pouvait se fonder sur la seule volonté exprimée par la constructrice de ne pas exploiter l'installation en mode adaptatif, dès lors que le mode d'exploitation pourrait changer à tout moment. Les recourants auraient ainsi été privés d'un contrôle judiciaire sur cette question de santé publique.</w:t>
      </w:r>
    </w:p>
    <w:p>
      <w:r>
        <w:rPr>
          <w:b/>
        </w:rPr>
        <w:t>E. 2.5.2</w:t>
      </w:r>
    </w:p>
    <w:p>
      <w:r>
        <w:t>Selon l' art. 6 ORNI , si, après sa mise en service, une nouvelle installation est modifiée au sens de l'annexe 1, les prescriptions relatives aux limitations d'émissions concernant les nouvelles installations sont applicables. Le ch. 62 al. 5bis annexe 1 ORNI prévoit que l'application d'un facteur de correction aux antennes émettrices adaptatives existantes en vertu du ch. 63 al. 2 n'est pas considéré comme une modification d'installation. Le ch. 63 al. 4 précise que dans ce cas, le détenteur de l'installation remet à l'autorité compétente une fiche de données spécifique au site adaptée.</w:t>
      </w:r>
    </w:p>
    <w:p>
      <w:r>
        <w:rPr>
          <w:b/>
        </w:rPr>
        <w:t>E. 2.5.3</w:t>
      </w:r>
    </w:p>
    <w:p>
      <w:r>
        <w:t>En l'espèce, l'évaluation des antennes a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w:t>
      </w:r>
    </w:p>
    <w:p>
      <w:r>
        <w:t>worst case scenario ). En cas d'application du facteur de correction prévu au ch. 63 al. 3 annexe 1 ORNI, il pourrait y avoir un changement du mode d'exploitation impliquant des pics de puissance allant au-delà des valeurs prévues au ch. 64 de l'annexe 1 ORNI, sans que les personnes concernées ne soient informées ni ne disposent d'un droit d'opposition et de recours. On peut s'interroger, avec les recourants, sur la compatibilité de ce système avec les principes de publicité et d'information, d'assujettissement à autorisation ( art. 22 al. 1 LAT ), ainsi qu'avec le droit d'être entendu garanti à l' art. 29 al. 2 Cst. et le droit d'opposition consacré de manière générale en matière d'aménagement du territoire et de droit des constructions (cf. ATF 143 II 467 consid. 2). Cette question (déjà soulevée dans l'arrêt 1C_100/2021 précité, consid. 6.3.2 in fine), va toutefois au-delà de l'objet du litige et n'a pas à être examinée plus avant (idem). Le grief tiré d'une violation du droit d'être entendu et de l'accès au juge doit donc être, à ce stade, écarté.</w:t>
      </w:r>
    </w:p>
    <w:p>
      <w:r>
        <w:rPr>
          <w:b/>
        </w:rPr>
        <w:t>E. 2.6</w:t>
      </w:r>
    </w:p>
    <w:p>
      <w:r>
        <w:t>S'agissant du cumul des émissions, le ch. 62 de l'annexe 1 ORNI prévoit que les groupes d'antennes émettant dans des conditions de proximité spatiale comptent comme une seule installation, indépendamment de l'ordre dans lequel ils ont été construits ou modifiés (al. 2). Deux groupes d'antennes émettent dans des conditions de proximité spatiale lorsqu'au moins une antenne de chaque groupe se trouve dans le périmètre de l'autre groupe. Ainsi, pour que la valeur limite d'immission puisse être dépassée dans un LUS donné, il faudrait que plus de 100 stations émettent en épuisant les valeurs limites de l'installation (VLInst), sans se trouver dans un rapport spatial étroit. Un tel scénario serait totalement irréaliste, tant actuellement qu'à l'avenir (cf. arrêt 1C_693/2021 du 3 mai 2023 consid. 5.3).</w:t>
      </w:r>
    </w:p>
    <w:p>
      <w:r>
        <w:rPr>
          <w:b/>
        </w:rPr>
        <w:t>E. 2.7</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ERP) et les directions de propagation de toutes les antennes du réseau avec les valeurs et les directions autorisées.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w:t>
      </w:r>
    </w:p>
    <w:p>
      <w:r>
        <w:t>Suite au complément du 23 février 2021, les opérateurs ont dû adapter leur système AQ afin que ceux-ci permettent de contrôler les paramètres des antennes adaptatives: dans le mode d'exploitation déterminant, les prévisions sont calculées comme on l'a vu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de sorte que les objections des recourants apparaissent sans fondement.</w:t>
      </w:r>
    </w:p>
    <w:p>
      <w:r>
        <w:rPr>
          <w:b/>
        </w:rPr>
        <w:t>E. 2.8</w:t>
      </w:r>
    </w:p>
    <w:p>
      <w:r>
        <w:t>Dans son arrêt 1C_97/2018 du 3 septembre 2019,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t>L'OFEV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Après une enquête écrite auprès des cantons en 2020, il est apparu que certains d'entre eux menaient déjà des contrôles sur place. Un groupe d'accompagnement a été créé et est en train de définir la procédure à suivre pour ce type de contrôles. Cet examen à l'échelle nationale permettra de vérifier si les systèmes d'assurance qualité fonctionnent correctement.</w:t>
      </w:r>
    </w:p>
    <w:p>
      <w:r>
        <w:t>En l'état, il n'y a pas lieu de douter de manière générale de la fiabilité des systèmes AQ, y compris pour les antennes adaptatives (arrêt précité 1C_100/2021 consid. 9.5.5).</w:t>
      </w:r>
    </w:p>
    <w:p>
      <w:r>
        <w:rPr>
          <w:b/>
        </w:rPr>
        <w:t>E. 2.9</w:t>
      </w:r>
    </w:p>
    <w:p>
      <w:r>
        <w:t>Les considérations générales soulevées par les recourants en rapport avec la LPE ne sauraient dès lors permettre de revenir sur la jurisprudence rendue en la matière et confirmée encore récemment, s'agissant d'antennes adaptatives, dans l'arrêt 1C_100/2021 précité.</w:t>
      </w:r>
    </w:p>
    <w:p>
      <w:r>
        <w:rPr>
          <w:b/>
        </w:rPr>
        <w:t>E. 3</w:t>
      </w:r>
    </w:p>
    <w:p>
      <w:r>
        <w:t>Contrairement à ce que soutiennent les recourants, la jurisprudence constante considère que les installations de téléphonie mobile ne sont pas soumises à une obligation de planifier ( ATF 142 II 26 consid. 4.2; arrêts 1C_693/2021 du 3 mai 2023 consid. 8; 1A.140/2003 du 18 mars 2004 consid. 3.2).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 ATF 142 II 26 consid. 4.2 et les arrêts cités). Une telle planification est certes possible, mais doit respecter notamment l'obligation de couverture telle qu'elle résulte du droit fédéral ( ATF 141 II 245 consid. 7.1). Une obligation de planifier, dont les recourants ne précisent d'ailleurs pas les modalités concrètes, ne saurait par conséquent être retenue.</w:t>
      </w:r>
    </w:p>
    <w:p>
      <w:r>
        <w:rPr>
          <w:b/>
        </w:rPr>
        <w:t>E. 4</w:t>
      </w:r>
    </w:p>
    <w:p>
      <w:r>
        <w:t>Les recourants se plaignent ensuite d'une violation de la LPN. Ils relèvent que le quartier des Fleurettes est compris dans le périmètre 33 de l'ISOS, défini comme un secteur résidentiel caractérisé par l'homogénéité des styles et des matériaux et des jardins à caractère verdoyant, avec un objectif de sauvegarge B. Les bâtiments anciens qui le composent présentent une belle harmonie architecturale et certains figurent à l'inventaire cantonal. L'implantation d'une antenne de 7 mètres de hauteur sur le toit d'une maison au centre de ce quartier porterait atteinte aux qualités esthétiques de celui-ci. Les constatations de la cour cantonale selon lesquelles les constructions seraient "hétéroclites" et l'environnement "massivement bâti et urbain", iraient à l'encontre des faits constatés lors de l'inspection locale ("riche patrimoine architectural et végétal"). Les recourants se réfèrent à l' ATF 141 II 245 en relevant que les habitants du ne sont éloignés que de 20 à 50 mètres de la parcelle n° 4550. Une réduction de l'impact visuel en implantant une partie de l'installation dans les galetas de l'immeuble (solution présentée comme possible en audience) n'aurait pas été examinée par la CDAP. Celle-ci n'aurait pas non plus tenu compte de la protection accrue du quartier après une pétition déposée en 2019 auprès de la Commune de Lausanne. Les cas de jurisprudence auxquels se réfère l'arrêt cantonal ne seraient enfin pas transposables en l'espèce.</w:t>
      </w:r>
    </w:p>
    <w:p>
      <w:r>
        <w:rPr>
          <w:b/>
        </w:rPr>
        <w:t>E. 4.1</w:t>
      </w:r>
    </w:p>
    <w:p>
      <w:r>
        <w:t>En vertu de l' art. 6 al. 1 LPN ,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 ATF 127 II 273 consid. 4c; 123 II 256 consid. 6a; arrêt 1C_196/2010 du 16 février 2011 consid. 1.2).</w:t>
      </w:r>
    </w:p>
    <w:p>
      <w:r>
        <w:t>Lorsqu'il s'agit de l'accomplissement d'une tâche de la Confédération, au sens de l' art. 2 LPN , la règle suivant laquelle un objet doit être conservé intact dans les conditions fixées par l'inventaire ne souffre d'exception que si des intérêts équivalents ou supérieurs, d'importance nationale également, s'opposent à cette conservation ( art. 6 al. 2 LPN ). Selon la jurisprudence, l'octroi d'une autorisation de construire une installation de téléphonie relève d'une tâche de la Confédération (cf. ATF 131 II 545 consid. 2.2). L' 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(arrêt 1C_347/2016 du 5 septembre 2017 consid. 3.1).</w:t>
      </w:r>
    </w:p>
    <w:p>
      <w:r>
        <w:rPr>
          <w:b/>
        </w:rPr>
        <w:t>E. 4.2</w:t>
      </w:r>
    </w:p>
    <w:p>
      <w:r>
        <w:t>Le périmètre 33 de l'ISOS est décrit de la manière suivante:</w:t>
      </w:r>
    </w:p>
    <w:p>
      <w:r>
        <w:t>"secteur résidentiel installé dans la pente du versant, composé de maisons individuelles ou locatives et d'immeubles d'ess. deux à quatre niveaux formant un tissu discontinu, gradation de la volumétrie suivant la pente, homogénéité des styles et des matériaux, jardins à caractère verdoyant, dès dernier q. 19 e</w:t>
      </w:r>
    </w:p>
    <w:p>
      <w:r>
        <w:t>s., ess. toute fin 19 e</w:t>
      </w:r>
    </w:p>
    <w:p>
      <w:r>
        <w:t>s.-années 1930, rares objets jusqu'au dernier q. 20 e</w:t>
      </w:r>
    </w:p>
    <w:p>
      <w:r>
        <w:t>s".</w:t>
      </w:r>
    </w:p>
    <w:p>
      <w:r>
        <w:t>Le périmètre est décrit dans la fiche ISOS de la façon suivante (p. 212) :</w:t>
      </w:r>
    </w:p>
    <w:p>
      <w:r>
        <w:t>"</w:t>
      </w:r>
    </w:p>
    <w:p>
      <w:r>
        <w:t>L'avenue du Mont-d'Or prend le relais du boulevard de Grancy. [...], elle prolonge vers l'ouest sa stricte horizontalité, accentuée par la présence d'arbres d'alignement (33.1.5). Son côté amont est notamment marqué par une rangée de maisons individuelles et locatives datant des années 1880 (33.1.1) sur le côté sud desquelles s'étendent des jardins contenus par des murs de soutènement délimitant rigoureusement l'espace-rue. Seul un carrefour giratoire interrompt son parcours rectiligne. Il signale le départ de l'avenue Marc-Dufour dont le tracé est souligné par de solides et longs murs de soutènement (33.0.2) [...] Entre ces deux avenues et la ligne de chemin de fer s'est développé un tissu discontinu composé de maisons individuelles ou locatives et d'immeubles comprenant entre deux et six niveaux et remontant à une période s'étalant entre le dernier quart du 19 e</w:t>
      </w:r>
    </w:p>
    <w:p>
      <w:r>
        <w:t>siècle et les années 1930 (33, 33.1). Dans la partie occidentale, les transformations et adjonctions survenues au cours du 20 e</w:t>
      </w:r>
    </w:p>
    <w:p>
      <w:r>
        <w:t>siècle et l'architecture parfois moins élaborée des bâtiments confèrent au secteur des qualités légèrement inférieures à celles de la partie orientale. Dans cette dernière, les gabarits respectent une organisation particulière qui se reflète dans la trame régulière du tissu; les constructions les plus élevées sont reléguées dans la partie supérieure, tandis que les maisons avec jardins sont établies dans la partie inférieure, le but étant que chaque habitat bénéficie au maximum de l'ensoleillement et de la vue sur le lac. Le bâti constitue ainsi une succession d'alignements élégants s'échelonnant dans la pente. La préservation de cette structure rehausse encore davantage les qualités de cet ensemble qui recèle déjà une grande valeur architecturale. Seul un groupe de six remarquables immeubles organisé autour d'un square crée une ouverture plus grande dans le tissu (33.1.3). Parmi les rares constructions se démarquant du bâti figurent les immeubles résidentiels de 1960 (33.0.1) implantés à proximité immédiate du carrefour giratoire et trois autres bâtiments datant de la seconde moitié du 20 e</w:t>
      </w:r>
    </w:p>
    <w:p>
      <w:r>
        <w:t>siècle (33.1.2). "</w:t>
      </w:r>
    </w:p>
    <w:p>
      <w:r>
        <w:t>Le secteur dans son ensemble est caractérisé par une structure d'origine (catégorie d'inventaire AB) et fait l'objet d'un objectif de sauvegarde B, soit "la sauvegarde de la structure. Conservation de la disposition et de l'aspect des constructions et des espaces libres; sauvegarde intégrale des éléments et des caractéristiques essentiels pour la sauvegarde de la structure".</w:t>
      </w:r>
    </w:p>
    <w:p>
      <w:r>
        <w:t>Immédiatement à l'est de la parcelle n° 4550 se trouvent d'importants immeubles faisant l'objet d'une observation dans l'ISOS (n° 33.0.3) décrits comme suit: "</w:t>
      </w:r>
    </w:p>
    <w:p>
      <w:r>
        <w:t>Logements sociaux coopératifs, immeubles de quatre à cinq niveaux implantés dans la ligne de pente, toits à croupes ou à la Mansart, jardin central compartimenté, cultivé en partie comme potager, front urbain côté E, gabarit supérieur au reste du bâti, 1933-46, mauvaise intégration du garage souterrain au S, surélévation de la toiture du bâtiment O rompant l'unité du bâti, dernier q. 20 e</w:t>
      </w:r>
    </w:p>
    <w:p>
      <w:r>
        <w:t>/déb. 21 e</w:t>
      </w:r>
    </w:p>
    <w:p>
      <w:r>
        <w:t>s. ".</w:t>
      </w:r>
    </w:p>
    <w:p>
      <w:r>
        <w:rPr>
          <w:b/>
        </w:rPr>
        <w:t>E. 4.3</w:t>
      </w:r>
    </w:p>
    <w:p>
      <w:r>
        <w:t>Au terme de sa vision locale, la cour cantonale a confirmé la valeur du quartier, dont certains bâtiments figurent au recensement architectural, et qui se caractérise par un riche patrimoine architectural et végétal. Néanmoins, elle a également constaté que le secteur concerné était composé de constructions passablement hétéroclites présentant un aspect certes résidentiel, mais résolument urbain. Le bâtiment où devait prendre place l'antenne datait des années 70 et ne présentait en soi aucune qualité particulière, tout comme plusieurs bâtiments voisins. Ces constatations ne sont nullement en contradiction avec les considérations de l'ISOS selon lesquelles la partie ouest du quartier présente des qualités légèrement inférieures au secteur est, en raison de transformations et d'adjonctions survenues au cours du 20ème siècle et de l'architecture parfois moins élaborée des immeubles. La cour cantonale a ainsi tenu compte des éléments ressortant de l'ISOS, mais également des circonstances concrètes prévalant dans le secteur où doit être implantée l'installation litigieuse, lequel comprend déjà plusieurs installations similaires et est marquée, à peu de distance au nord, par les installations ferroviaires, dans un milieu indéniablement urbain. L'immeuble occupant la parcelle n° 4550 date des années 70 et plusieurs constructions alentour ne respectent que partiellement la structure d'origine bénéficiant de la protection de l'ISOS.</w:t>
      </w:r>
    </w:p>
    <w:p>
      <w:r>
        <w:t>Sur le vu des différents éléments mis en évidence par la cour cantonale et compte tenu de la retenue que doit s'imposer le Tribunal fédéral s'agissant de l'examen des circonstances locales, il n'apparaît pas critiquable d'avoir jugé que l'installation de téléphonie litigieuse n'entraînera qu'un impact visuel restreint ne portant pas une atteinte sensible au quartier, appréciation confirmée dans le préavis positif du Service d'architecture de la Ville de Lausanne du 27 octobre 2020, ainsi que dans les écritures présentées céans par l'autorité communale.</w:t>
      </w:r>
    </w:p>
    <w:p>
      <w:r>
        <w:rPr>
          <w:b/>
        </w:rPr>
        <w:t>E. 4.4</w:t>
      </w:r>
    </w:p>
    <w:p>
      <w:r>
        <w:t>Les recourants évoquent la possibilité d'intégrer une partie de l'antenne dans les galetas de l'immeuble, solution présentée comme possible en cours d'audience. Ils reprochent à la cour cantonale d'avoir ignoré cet argument, mais ne démontrent pas qu'ils l'auraient valablement soulevé dans l'une ou l'autre de leurs écritures. Quoi qu'il en soit, le représentant de la constructrice a en effet évoqué lors de l'inspection locale la possibilité de déplacer l'amplificateur dans les galetas, ce qui réduirait l'importance de l'installation, mais le gain esthétique serait minime, alors que les travaux seraient conséquents. Il apparaît en effet que la hauteur de l'antenne au-dessus de la toiture (environ 4 mètres) qui représente l'impact visuel essentiel de l'installation, ne serait pas diminuée par cette modification; du point de vue de l'esthétique et de l'intégration, cette solution n'apporterait pas d'avantage déterminant.</w:t>
      </w:r>
    </w:p>
    <w:p>
      <w:r>
        <w:rPr>
          <w:b/>
        </w:rPr>
        <w:t>E. 4.5</w:t>
      </w:r>
    </w:p>
    <w:p>
      <w:r>
        <w:t>Les recourants reprochent à la cour cantonale de ne pas avoir tenu compte du fait que la Commune de Lausanne aurait prévu de renforcer la protection du patrimoine bâti après le dépôt d'une pétition en 2019; une protection plus forte serait instaurée, avec la possibilité de déclarer des parties de la ville en zone réservée dans un but de protection du patrimoine. Le Syndic l'aurait encore confirmé dans une lettre du 8 juillet 2022. Cette dernière pièce, invoquée dans les déterminations spontanées des recourants, est toutefois nouvelle puisque postérieure à l'arrêt attaqué, et est par conséquent irrecevable ( art. 99 al. 1 LTF ).</w:t>
      </w:r>
    </w:p>
    <w:p>
      <w:r>
        <w:t>Les recourants ne contestent pas, cela étant, qu'aucune mesure de planification n'est venue concrétiser les intentions exprimées par l'autorité communale. Dans ces conditions, seule la disposition relative à la planification en voie d'élaboration (art. 47 de la loi vaudoise sur l'aménagement du territoire et les constructions - LATC, RS/VD 700.11) pouvait trouver application. La CDAP a examiné la question en relevant que le plan général d'affectation de la ville de Lausanne n'avait pas encore été mis à l'enquête publique et que l'autorité communale n'avait décidé aucun effet anticipé négatif. Les recourants ne remettent pas en cause cette appréciation, que le Tribunal fédéral ne pourrait revoir que sous l'angle de l'arbitraire ( ATF 142 II 369 consid. 2.1).</w:t>
      </w:r>
    </w:p>
    <w:p>
      <w:r>
        <w:t>Les objections tirées de l' art. 6 LPN doivent par conséquent être écartées.</w:t>
      </w:r>
    </w:p>
    <w:p>
      <w:r>
        <w:rPr>
          <w:b/>
        </w:rPr>
        <w:t>E. 5</w:t>
      </w:r>
    </w:p>
    <w:p>
      <w:r>
        <w:t>Sur le vu de ce qui précède, le recours doit être rejeté, dans la mesure où il est recevable. Les frais judiciaires sont mis à la charge des recourants qui succombent ( art. 66 al. 1 LTF ), de même que l'indemnité de dépens allouée à l'intimée Swisscom (Suisse) SA,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