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1C_295/2017 vom 31. Mai 2017</w:t>
      </w:r>
    </w:p>
    <w:p>
      <w:r>
        <w:t>Bundesgericht, 2017-05-31, DE</w:t>
      </w:r>
    </w:p>
    <w:p>
      <w:r>
        <w:rPr>
          <w:b/>
        </w:rPr>
        <w:t xml:space="preserve">Quelle: </w:t>
      </w:r>
      <w:r>
        <w:t>https://mcp.opencaselaw.ch/entscheid/bger_1C_295_2017</w:t>
      </w:r>
    </w:p>
    <w:p>
      <w:r>
        <w:t>FR: TF 1C_295/2017 du 31 mai 2017</w:t>
      </w:r>
    </w:p>
    <w:p>
      <w:r>
        <w:t>IT: TF 1C_295/2017 del 31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1/2}</w:t>
      </w:r>
    </w:p>
    <w:p>
      <w:r>
        <w:t>1C_295/2017</w:t>
      </w:r>
    </w:p>
    <w:p>
      <w:r>
        <w:t>Urteil vom 31. Mai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Willy Matzinger,</w:t>
      </w:r>
    </w:p>
    <w:p>
      <w:r>
        <w:t>Beschwerdeführer,</w:t>
      </w:r>
    </w:p>
    <w:p>
      <w:r>
        <w:t>gegen</w:t>
      </w:r>
    </w:p>
    <w:p>
      <w:r>
        <w:t>Bundeskanzlei, Bundeshaus West, 3003 Bern.</w:t>
      </w:r>
    </w:p>
    <w:p>
      <w:r>
        <w:t>Gegenstand</w:t>
      </w:r>
    </w:p>
    <w:p>
      <w:r>
        <w:t>Stimmrechtsbeschwerde; Volksabstimmung vom 21. Mai 2017 betreffend das Energiegesetz (EnG).</w:t>
      </w:r>
    </w:p>
    <w:p>
      <w:r>
        <w:t>In Erwägung,</w:t>
      </w:r>
    </w:p>
    <w:p>
      <w:r>
        <w:t>dass Willy Matzinger mit Eingabe vom 21. Mai 2017 (Postaufgabe 24. Mai 2017) "Stimmrechtsbeschwerde" im Zusammenhang mit der Eidgenössischen Volksabstimmung vom 21. Mai 2017 betreffend das Energiegesetz erhoben hat;</w:t>
      </w:r>
    </w:p>
    <w:p>
      <w:r>
        <w:t>dass der Beschwerdeführer dabei inhaltliche Mängel des Energiegesetzes beanstandet und die Aufhebung von Art. 54 Abs. 1 letzter Teil des Satzes ("nicht dem Referendum unterliegen") beantragt;</w:t>
      </w:r>
    </w:p>
    <w:p>
      <w:r>
        <w:t>dass der Beschwerdeführer damit in der Sache eine abstrakte Normenkontrolle des besagten Artikels des Energiegesetzes verlangt;</w:t>
      </w:r>
    </w:p>
    <w:p>
      <w:r>
        <w:t>dass Bundesgesetze der abstrakten Normenkontrolle nicht unterliegen ( Art. 82 BGG , Art. 190 BV );</w:t>
      </w:r>
    </w:p>
    <w:p>
      <w:r>
        <w:t>dass demnach auf die Beschwerde im vereinfachten Verfahren nach Art. 108 Abs. 1 BGG nicht einzutreten ist;</w:t>
      </w:r>
    </w:p>
    <w:p>
      <w:r>
        <w:t>dass auf eine Kostenauflage verzichtet werden kann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und der Bundeskanzlei schriftlich mitgeteilt.</w:t>
      </w:r>
    </w:p>
    <w:p>
      <w:r>
        <w:t>Lausanne, 31. Mai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